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e915f519594ab0" /></Relationships>
</file>

<file path=word/document.xml><?xml version="1.0" encoding="utf-8"?>
<w:document xmlns:r="http://schemas.openxmlformats.org/officeDocument/2006/relationships" xmlns:w="http://schemas.openxmlformats.org/wordprocessingml/2006/main">
  <w:body>
    <w:p>
      <w:pPr>
        <w:spacing w:before="2400"/>
      </w:pPr>
      <w:r/>
    </w:p>
    <w:p>
      <w:pPr>
        <w:shd w:val="clear" w:fill="1a365d"/>
        <w:spacing w:after="600"/>
        <w:jc w:val="center"/>
      </w:pPr>
      <w:r>
        <w:rPr>
          <w:color w:val="FFFFFF"/>
          <w:spacing w:val="30"/>
          <w:sz w:val="20"/>
        </w:rPr>
        <w:t>CONFIDENTIAL</w:t>
      </w:r>
    </w:p>
    <w:p>
      <w:pPr>
        <w:spacing w:after="200"/>
        <w:jc w:val="center"/>
      </w:pPr>
      <w:r>
        <w:rPr>
          <w:b/>
          <w:color w:val="1a365d"/>
          <w:sz w:val="72"/>
        </w:rPr>
        <w:t>Incentives Market Pulse</w:t>
      </w:r>
    </w:p>
    <w:p>
      <w:pPr>
        <w:spacing w:after="400"/>
        <w:jc w:val="center"/>
      </w:pPr>
      <w:r>
        <w:rPr>
          <w:color w:val="8b2942"/>
          <w:sz w:val="48"/>
        </w:rPr>
        <w:t>AU/NZ</w:t>
      </w:r>
    </w:p>
    <w:p>
      <w:pPr>
        <w:spacing w:after="1200"/>
        <w:jc w:val="center"/>
      </w:pPr>
      <w:r>
        <w:rPr>
          <w:color w:val="4a5568"/>
          <w:sz w:val="28"/>
        </w:rPr>
        <w:t>March 2026 Edition</w:t>
      </w:r>
    </w:p>
    <w:p>
      <w:pPr>
        <w:pBdr>
          <w:bottom w:val="single" w:color="8b2942" w:sz="12" w:space="1"/>
        </w:pBdr>
        <w:spacing w:after="1200"/>
        <w:ind w:left="2880" w:right="2880"/>
        <w:jc w:val="center"/>
      </w:pPr>
      <w:r/>
    </w:p>
    <w:p>
      <w:pPr>
        <w:spacing w:after="80"/>
        <w:jc w:val="center"/>
      </w:pPr>
      <w:r>
        <w:rPr>
          <w:color w:val="718096"/>
          <w:sz w:val="22"/>
        </w:rPr>
        <w:t>Prepared for</w:t>
      </w:r>
    </w:p>
    <w:p>
      <w:pPr>
        <w:spacing w:after="600"/>
        <w:jc w:val="center"/>
      </w:pPr>
      <w:r>
        <w:rPr>
          <w:b/>
          <w:color w:val="1a202c"/>
          <w:sz w:val="28"/>
        </w:rPr>
        <w:t>Katy Shaw, Digital Glue Australia</w:t>
      </w:r>
    </w:p>
    <w:p>
      <w:pPr>
        <w:spacing w:after="80"/>
        <w:jc w:val="center"/>
      </w:pPr>
      <w:r>
        <w:rPr>
          <w:color w:val="718096"/>
          <w:sz w:val="22"/>
        </w:rPr>
        <w:t>Prepared by</w:t>
      </w:r>
    </w:p>
    <w:p>
      <w:pPr>
        <w:spacing w:after="2400"/>
        <w:jc w:val="center"/>
      </w:pPr>
      <w:r>
        <w:rPr>
          <w:color w:val="4a5568"/>
          <w:sz w:val="24"/>
        </w:rPr>
        <w:t>Market Pulse Research Pty Ltd.</w:t>
      </w:r>
    </w:p>
    <w:p>
      <w:pPr>
        <w:jc w:val="center"/>
      </w:pPr>
      <w:r>
        <w:rPr>
          <w:i/>
          <w:color w:val="718096"/>
          <w:sz w:val="18"/>
        </w:rPr>
        <w:t>Not for distribution. Commercial intelligence purposes only.</w:t>
      </w:r>
    </w:p>
    <w:p>
      <w:pPr>
        <w:sectPr>
          <w:type w:val="nextPage"/>
          <w:pgSz w:w="11906" w:h="16838"/>
          <w:pgMar w:top="1440" w:right="1440" w:bottom="1440" w:left="1440" w:header="720" w:footer="720"/>
        </w:sectPr>
      </w:pPr>
    </w:p>
    <w:p>
      <w:pPr>
        <w:spacing w:after="400"/>
        <w:jc w:val="left"/>
      </w:pPr>
      <w:r>
        <w:rPr>
          <w:b/>
          <w:color w:val="1a365d"/>
          <w:sz w:val="36"/>
        </w:rPr>
        <w:t>Table of Contents</w:t>
      </w:r>
    </w:p>
    <w:p>
      <w:pPr>
        <w:spacing w:after="300"/>
      </w:pPr>
      <w:r>
        <w:rPr>
          <w:i/>
          <w:color w:val="718096"/>
          <w:sz w:val="18"/>
        </w:rPr>
        <w:t>(Right-click and select "Update Field" to refresh page numbers)</w:t>
      </w:r>
    </w:p>
    <w:p>
      <w:r>
        <w:fldChar w:fldCharType="begin"/>
      </w:r>
      <w:r>
        <w:instrText xml:space="preserve"> TOC \o "1-3" \h \z \u </w:instrText>
      </w:r>
      <w:r>
        <w:fldChar w:fldCharType="separate"/>
      </w:r>
    </w:p>
    <w:p>
      <w:pPr>
        <w:pStyle w:val="TOC1"/>
      </w:pPr>
      <w:r>
        <w:t>1. Executive Summary</w:t>
      </w:r>
      <w:r>
        <w:tab/>
      </w:r>
      <w:r>
        <w:t>3</w:t>
      </w:r>
    </w:p>
    <w:p>
      <w:pPr>
        <w:pStyle w:val="TOC1"/>
      </w:pPr>
      <w:r>
        <w:t>2. Market Context &amp; Drivers</w:t>
      </w:r>
      <w:r>
        <w:tab/>
      </w:r>
      <w:r>
        <w:t>5</w:t>
      </w:r>
    </w:p>
    <w:p>
      <w:pPr>
        <w:pStyle w:val="TOC1"/>
      </w:pPr>
      <w:r>
        <w:t>3. Evaluation Framework Summary</w:t>
      </w:r>
      <w:r>
        <w:tab/>
      </w:r>
      <w:r>
        <w:t>7</w:t>
      </w:r>
    </w:p>
    <w:p>
      <w:pPr>
        <w:pStyle w:val="TOC1"/>
      </w:pPr>
      <w:r>
        <w:t>4. Entity Profiles by Tier</w:t>
      </w:r>
      <w:r>
        <w:tab/>
      </w:r>
      <w:r>
        <w:t>9</w:t>
      </w:r>
    </w:p>
    <w:p>
      <w:pPr>
        <w:pStyle w:val="TOC1"/>
      </w:pPr>
      <w:r>
        <w:t>5. Demand Signals by Vertical</w:t>
      </w:r>
      <w:r>
        <w:tab/>
      </w:r>
      <w:r>
        <w:t>15</w:t>
      </w:r>
    </w:p>
    <w:p>
      <w:pPr>
        <w:pStyle w:val="TOC1"/>
      </w:pPr>
      <w:r>
        <w:t>6. Competitor &amp; Partner Watch</w:t>
      </w:r>
      <w:r>
        <w:tab/>
      </w:r>
      <w:r>
        <w:t>17</w:t>
      </w:r>
    </w:p>
    <w:p>
      <w:pPr>
        <w:pStyle w:val="TOC1"/>
      </w:pPr>
      <w:r>
        <w:t>7. Offer Mechanics &amp; Experience Signals</w:t>
      </w:r>
      <w:r>
        <w:tab/>
      </w:r>
      <w:r>
        <w:t>19</w:t>
      </w:r>
    </w:p>
    <w:p>
      <w:pPr>
        <w:pStyle w:val="TOC1"/>
      </w:pPr>
      <w:r>
        <w:t>8. Risk &amp; Abuse Watch</w:t>
      </w:r>
      <w:r>
        <w:tab/>
      </w:r>
      <w:r>
        <w:t>20</w:t>
      </w:r>
    </w:p>
    <w:p>
      <w:pPr>
        <w:pStyle w:val="TOC1"/>
      </w:pPr>
      <w:r>
        <w:t>9. Regulatory &amp; Compliance Watch</w:t>
      </w:r>
      <w:r>
        <w:tab/>
      </w:r>
      <w:r>
        <w:t>21</w:t>
      </w:r>
    </w:p>
    <w:p>
      <w:pPr>
        <w:pStyle w:val="TOC1"/>
      </w:pPr>
      <w:r>
        <w:t>10. Watchlist Adjustments</w:t>
      </w:r>
      <w:r>
        <w:tab/>
      </w:r>
      <w:r>
        <w:t>22</w:t>
      </w:r>
    </w:p>
    <w:p>
      <w:pPr>
        <w:pStyle w:val="TOC1"/>
      </w:pPr>
      <w:r>
        <w:t>11. Source Gaps &amp; Intelligence Upgrades</w:t>
      </w:r>
      <w:r>
        <w:tab/>
      </w:r>
      <w:r>
        <w:t>23</w:t>
      </w:r>
    </w:p>
    <w:p>
      <w:pPr>
        <w:pStyle w:val="TOC1"/>
      </w:pPr>
      <w:r>
        <w:t>12. Appendix</w:t>
      </w:r>
      <w:r>
        <w:tab/>
      </w:r>
      <w:r>
        <w:t>24</w:t>
      </w:r>
    </w:p>
    <w:p>
      <w:r>
        <w:fldChar w:fldCharType="end"/>
      </w:r>
    </w:p>
    <w:p>
      <w:pPr>
        <w:sectPr>
          <w:type w:val="nextPage"/>
          <w:pgSz w:w="11906" w:h="16838"/>
          <w:pgMar w:top="1440" w:right="1440" w:bottom="1440" w:left="1440" w:header="720" w:footer="720"/>
        </w:sectPr>
      </w:pPr>
    </w:p>
    <w:p>
      <w:pPr>
        <w:pStyle w:val="Heading1"/>
      </w:pPr>
      <w:r>
        <w:t>1. Executive Summary</w:t>
      </w:r>
    </w:p>
    <w:p>
      <w:pPr>
        <w:pStyle w:val="Heading2"/>
      </w:pPr>
      <w:r>
        <w:t>Market Thesis</w:t>
      </w:r>
    </w:p>
    <w:p>
      <w:r>
        <w:t>The AU/NZ incentives and loyalty landscape is undergoing its most significant transformation in decades. Three macro forces are reshaping the market: (1) major program overhauls from Qantas and Myer introducing 'on-the-ground' status earning and card-linked partnerships; (2) regulatory pressure on supermarket pricing and loyalty transparency; and (3) the collapse of Cashrewards, leaving ShopBack as the dominant cashback player. These shifts create both opportunities and threats for Digital Glue's enterprise incentive business.</w:t>
      </w:r>
    </w:p>
    <w:p>
      <w:pPr>
        <w:pStyle w:val="Heading2"/>
      </w:pPr>
      <w:r>
        <w:t>Scope Statement</w:t>
      </w:r>
    </w:p>
    <w:p>
      <w:r>
        <w:t>This report evaluates 18 entities across the AU/NZ loyalty ecosystem, covering the period January-March 2026. Sources include company announcements, regulatory filings, earnings calls, and industry conferences. Scoring follows a three-dimension methodology: Current Offering (40%), Strategic Vision (35%), and Market Presence (25%).</w:t>
      </w:r>
    </w:p>
    <w:p>
      <w:pPr>
        <w:pStyle w:val="Heading2"/>
      </w:pPr>
      <w:r>
        <w:t>5 Key Changes + Commercial Implications</w:t>
      </w:r>
    </w:p>
    <w:p>
      <w:pPr>
        <w:spacing w:before="120" w:after="80"/>
      </w:pPr>
      <w:r>
        <w:rPr>
          <w:b/>
          <w:color w:val="1a365d"/>
        </w:rPr>
        <w:t>1. Qantas Status Revolution: </w:t>
      </w:r>
      <w:r>
        <w:t>Qantas Frequent Flyer's February 2026 announcement introduces 'Status Credits on the Ground' (up to 140 SC/year from everyday spending) and Status Credit rollover. This fundamentally changes loyalty economics, creating new partnership opportunities for non-airline brands to attach to status-seeking behavior.</w:t>
      </w:r>
    </w:p>
    <w:p>
      <w:pPr>
        <w:spacing w:before="120" w:after="80"/>
      </w:pPr>
      <w:r>
        <w:rPr>
          <w:b/>
          <w:color w:val="1a365d"/>
        </w:rPr>
        <w:t>2. Cashrewards Closure: </w:t>
      </w:r>
      <w:r>
        <w:t>Australia's second-largest cashback platform ceased operations in September 2025. ShopBack now dominates the category but is retrenching its in-store offering (ShopBack Pay closes March 2026). This consolidation creates white space for enterprise incentive providers to capture displaced volume.</w:t>
      </w:r>
    </w:p>
    <w:p>
      <w:pPr>
        <w:spacing w:before="120" w:after="80"/>
      </w:pPr>
      <w:r>
        <w:rPr>
          <w:b/>
          <w:color w:val="1a365d"/>
        </w:rPr>
        <w:t>3. Myer One Expansion: </w:t>
      </w:r>
      <w:r>
        <w:t>Myer's October 2025 relaunch added card-linked earning at Dan Murphy's, DoorDash, Petbarn and others. The program now spans 4.7 million active members with 825,000 new joiners in FY25. Card-linking technology from Loyal Solutions is enabling this ecosystem expansion.</w:t>
      </w:r>
    </w:p>
    <w:p>
      <w:pPr>
        <w:spacing w:before="120" w:after="80"/>
      </w:pPr>
      <w:r>
        <w:rPr>
          <w:b/>
          <w:color w:val="1a365d"/>
        </w:rPr>
        <w:t>4. Everyday Extra Devaluation: </w:t>
      </w:r>
      <w:r>
        <w:t>Woolworths removed the 10% BIG W discount from Everyday Extra subscriptions effective June 2025, citing 'focus on everyday low prices.' This reduces subscription value and may drive churn, creating acquisition opportunities for competitors.</w:t>
      </w:r>
    </w:p>
    <w:p>
      <w:pPr>
        <w:spacing w:before="120" w:after="80"/>
      </w:pPr>
      <w:r>
        <w:rPr>
          <w:b/>
          <w:color w:val="1a365d"/>
        </w:rPr>
        <w:t>5. Velocity Spend-Based Status: </w:t>
      </w:r>
      <w:r>
        <w:t>Virgin Australia completed its transition to spend-based status earning in April 2025 (1 SC per $12-24 spent). The program also introduced Forever Gold and Platinum Plus tiers. Velocity's partnership with Myer for point redemption expands cross-program opportunities.</w:t>
      </w:r>
    </w:p>
    <w:p>
      <w:pPr>
        <w:pStyle w:val="Heading2"/>
      </w:pPr>
      <w:r>
        <w:t>5 Priority Watchpoints</w:t>
      </w:r>
    </w:p>
    <w:p>
      <w:pPr>
        <w:spacing w:before="40" w:after="40"/>
        <w:ind w:left="360"/>
      </w:pPr>
      <w:r>
        <w:t>• Qantas partner expansion for 'on-the-ground' Status Credits - which brands will be first?</w:t>
      </w:r>
    </w:p>
    <w:p>
      <w:pPr>
        <w:spacing w:before="40" w:after="40"/>
        <w:ind w:left="360"/>
      </w:pPr>
      <w:r>
        <w:t>• ACCC enforcement action on supermarket 'excessive pricing' from July 2026</w:t>
      </w:r>
    </w:p>
    <w:p>
      <w:pPr>
        <w:spacing w:before="40" w:after="40"/>
        <w:ind w:left="360"/>
      </w:pPr>
      <w:r>
        <w:t>• PrezzeePay consumer launch (early 2026) - global gift card acceptance in 183 countries</w:t>
      </w:r>
    </w:p>
    <w:p>
      <w:pPr>
        <w:spacing w:before="40" w:after="40"/>
        <w:ind w:left="360"/>
      </w:pPr>
      <w:r>
        <w:t>• Air New Zealand's Koru program launch (April 2026) - complete Airpoints rebrand</w:t>
      </w:r>
    </w:p>
    <w:p>
      <w:pPr>
        <w:spacing w:before="40" w:after="40"/>
        <w:ind w:left="360"/>
      </w:pPr>
      <w:r>
        <w:t>• Treasury's unfair trading practices legislation - subscription and drip-pricing rules</w:t>
      </w:r>
    </w:p>
    <w:p>
      <w:pPr>
        <w:pStyle w:val="Heading1"/>
      </w:pPr>
      <w:r>
        <w:t>2. Market Context &amp; Drivers</w:t>
      </w:r>
    </w:p>
    <w:p>
      <w:pPr>
        <w:pStyle w:val="Heading2"/>
      </w:pPr>
      <w:r>
        <w:t>Economic Pressures</w:t>
      </w:r>
    </w:p>
    <w:p>
      <w:r>
        <w:t>Cost-of-living pressures continue to dominate consumer behavior. According to KPMG's Australian Retail Outlook 2026, 86% of Australians prioritize affordable prices, with 66% actively seeking discounts or promotions. Loyalty programs have shifted from 'nice-to-have' to essential tools for value-conscious shoppers. The average Australian belongs to 4-7 loyalty programs but actively uses fewer than half.</w:t>
      </w:r>
    </w:p>
    <w:p>
      <w:r>
        <w:t>Retailers report 43% have seen increased customer loyalty from program investments, while 22% admit their strategies have not delivered desired results. This creates a bifurcation: programs that deliver genuine value thrive; those perceived as gimmicks face abandonment.</w:t>
      </w:r>
    </w:p>
    <w:p>
      <w:pPr>
        <w:pStyle w:val="Heading2"/>
      </w:pPr>
      <w:r>
        <w:t>Technology Trends</w:t>
      </w:r>
    </w:p>
    <w:p>
      <w:pPr>
        <w:pStyle w:val="Heading3"/>
      </w:pPr>
      <w:r>
        <w:t>AI and Hyper-Personalisation</w:t>
      </w:r>
    </w:p>
    <w:p>
      <w:r>
        <w:t>The 2025 Asia Pacific Loyalty Conference highlighted AI-driven personalisation as the dominant trend. Foxtel's case study demonstrated 3 million+ potential message variants per customer through OfferFit decisioning. Real-time personalisation is moving from pilot to scaled deployment across major programs.</w:t>
      </w:r>
    </w:p>
    <w:p>
      <w:pPr>
        <w:pStyle w:val="Heading3"/>
      </w:pPr>
      <w:r>
        <w:t>Card-Linking Technology</w:t>
      </w:r>
    </w:p>
    <w:p>
      <w:r>
        <w:t>Card-linking is enabling coalition programs without POS integration. Myer's partnership with Loyal Solutions allows members to earn at non-Myer retailers by linking Visa/Mastercard. This technology lowers barriers for ecosystem expansion and creates new partnership models.</w:t>
      </w:r>
    </w:p>
    <w:p>
      <w:pPr>
        <w:pStyle w:val="Heading3"/>
      </w:pPr>
      <w:r>
        <w:t>Digital-First Rewards</w:t>
      </w:r>
    </w:p>
    <w:p>
      <w:r>
        <w:t>The Australia gift card market reached AUD 10.9 billion in 2025, projected to grow at 9.5% CAGR to AUD 27 billion by 2034. Prezzee disclosed USD 2.18 billion (AUD 3.4 billion) in card sales with 178% revenue growth. Digital incentives are replacing physical merchandise in B2B applications.</w:t>
      </w:r>
    </w:p>
    <w:p>
      <w:pPr>
        <w:pStyle w:val="Heading2"/>
      </w:pPr>
      <w:r>
        <w:t>Regulatory Environment</w:t>
      </w:r>
    </w:p>
    <w:p>
      <w:r>
        <w:t>Three regulatory developments are shaping the landscape: (1) Treasury's draft unfair trading practices legislation targeting subscription traps and drip-pricing; (2) ACCC enforcement on supermarket 'excessive pricing' from July 2026; and (3) proposed loyalty program transparency requirements including online price publication and web-scraping access for comparison sites.</w:t>
      </w:r>
    </w:p>
    <w:p>
      <w:pPr>
        <w:pStyle w:val="Heading2"/>
      </w:pPr>
      <w:r>
        <w:t>Buyer Priorities</w:t>
      </w:r>
    </w:p>
    <w:p>
      <w:r>
        <w:t>Enterprise buyers are prioritising: (1) immediate value delivery over complex gamification; (2) seamless digital experiences; (3) measurable ROI on loyalty investments; and (4) compliance-ready incentive infrastructure. Reward Gateway | Edenred reports 1 in 12 working Australians now use their platform, with AUD 31 million in employee savings (up 10% YoY).</w:t>
      </w:r>
    </w:p>
    <w:p>
      <w:pPr>
        <w:pStyle w:val="Heading1"/>
      </w:pPr>
      <w:r>
        <w:t>3. Evaluation Framework Summary</w:t>
      </w:r>
    </w:p>
    <w:p>
      <w:pPr>
        <w:pStyle w:val="Heading2"/>
      </w:pPr>
      <w:r>
        <w:t>Scoring Methodology</w:t>
      </w:r>
    </w:p>
    <w:p>
      <w:r>
        <w:t>Every entity is scored 1-5 on three dimensions, then weighted to produce a Priority Score (1.0-5.0):</w:t>
      </w:r>
    </w:p>
    <w:tbl>
      <w:tblPr>
        <w:tblW w:w="5000" w:type="pct"/>
        <w:tblBorders>
          <w:top w:val="single" w:color="1a365d" w:sz="8"/>
          <w:left w:val="nil"/>
          <w:bottom w:val="single" w:color="1a365d" w:sz="8"/>
          <w:right w:val="nil"/>
          <w:insideH w:val="single" w:color="e2e8f0" w:sz="4"/>
          <w:insideV w:val="nil"/>
        </w:tblBorders>
        <w:tblCellMar>
          <w:top w:w="80" w:type="dxa"/>
          <w:left w:w="120" w:type="dxa"/>
          <w:bottom w:w="80" w:type="dxa"/>
          <w:right w:w="120" w:type="dxa"/>
        </w:tblCellMar>
      </w:tblPr>
      <w:tblGrid>
        <w:gridCol w:w="2500"/>
        <w:gridCol w:w="4500"/>
        <w:gridCol w:w="1500"/>
      </w:tblGrid>
      <w:tr>
        <w:trPr>
          <w:tblHeader/>
        </w:trPr>
        <w:tc>
          <w:tcPr>
            <w:shd w:val="clear" w:fill="edf2f7"/>
            <w:vAlign w:val="center"/>
          </w:tcPr>
          <w:p>
            <w:pPr>
              <w:spacing w:before="0" w:after="0"/>
            </w:pPr>
            <w:r>
              <w:rPr>
                <w:b/>
                <w:color w:val="1a202c"/>
                <w:sz w:val="20"/>
              </w:rPr>
              <w:t>Dimension</w:t>
            </w:r>
          </w:p>
        </w:tc>
        <w:tc>
          <w:tcPr>
            <w:shd w:val="clear" w:fill="edf2f7"/>
            <w:vAlign w:val="center"/>
          </w:tcPr>
          <w:p>
            <w:pPr>
              <w:spacing w:before="0" w:after="0"/>
            </w:pPr>
            <w:r>
              <w:rPr>
                <w:b/>
                <w:color w:val="1a202c"/>
                <w:sz w:val="20"/>
              </w:rPr>
              <w:t>What It Measures</w:t>
            </w:r>
          </w:p>
        </w:tc>
        <w:tc>
          <w:tcPr>
            <w:shd w:val="clear" w:fill="edf2f7"/>
            <w:vAlign w:val="center"/>
          </w:tcPr>
          <w:p>
            <w:pPr>
              <w:spacing w:before="0" w:after="0"/>
            </w:pPr>
            <w:r>
              <w:rPr>
                <w:b/>
                <w:color w:val="1a202c"/>
                <w:sz w:val="20"/>
              </w:rPr>
              <w:t>Weight</w:t>
            </w:r>
          </w:p>
        </w:tc>
      </w:tr>
      <w:tr>
        <w:tc>
          <w:tcPr>
            <w:vAlign w:val="center"/>
          </w:tcPr>
          <w:p>
            <w:pPr>
              <w:spacing w:before="0" w:after="0"/>
            </w:pPr>
            <w:r>
              <w:rPr>
                <w:color w:val="1a202c"/>
                <w:sz w:val="20"/>
              </w:rPr>
              <w:t>Current Offering</w:t>
            </w:r>
          </w:p>
        </w:tc>
        <w:tc>
          <w:tcPr>
            <w:vAlign w:val="center"/>
          </w:tcPr>
          <w:p>
            <w:pPr>
              <w:spacing w:before="0" w:after="0"/>
            </w:pPr>
            <w:r>
              <w:rPr>
                <w:color w:val="1a202c"/>
                <w:sz w:val="20"/>
              </w:rPr>
              <w:t>Product capabilities, partnerships, market moves visible today</w:t>
            </w:r>
          </w:p>
        </w:tc>
        <w:tc>
          <w:tcPr>
            <w:vAlign w:val="center"/>
          </w:tcPr>
          <w:p>
            <w:pPr>
              <w:spacing w:before="0" w:after="0"/>
            </w:pPr>
            <w:r>
              <w:rPr>
                <w:color w:val="1a202c"/>
                <w:sz w:val="20"/>
              </w:rPr>
              <w:t>40%</w:t>
            </w:r>
          </w:p>
        </w:tc>
      </w:tr>
      <w:tr>
        <w:tc>
          <w:tcPr>
            <w:vAlign w:val="center"/>
          </w:tcPr>
          <w:p>
            <w:pPr>
              <w:spacing w:before="0" w:after="0"/>
            </w:pPr>
            <w:r>
              <w:rPr>
                <w:color w:val="1a202c"/>
                <w:sz w:val="20"/>
              </w:rPr>
              <w:t>Strategic Vision</w:t>
            </w:r>
          </w:p>
        </w:tc>
        <w:tc>
          <w:tcPr>
            <w:vAlign w:val="center"/>
          </w:tcPr>
          <w:p>
            <w:pPr>
              <w:spacing w:before="0" w:after="0"/>
            </w:pPr>
            <w:r>
              <w:rPr>
                <w:color w:val="1a202c"/>
                <w:sz w:val="20"/>
              </w:rPr>
              <w:t>Roadmap clarity, innovation trajectory, future-fit positioning</w:t>
            </w:r>
          </w:p>
        </w:tc>
        <w:tc>
          <w:tcPr>
            <w:vAlign w:val="center"/>
          </w:tcPr>
          <w:p>
            <w:pPr>
              <w:spacing w:before="0" w:after="0"/>
            </w:pPr>
            <w:r>
              <w:rPr>
                <w:color w:val="1a202c"/>
                <w:sz w:val="20"/>
              </w:rPr>
              <w:t>35%</w:t>
            </w:r>
          </w:p>
        </w:tc>
      </w:tr>
      <w:tr>
        <w:tc>
          <w:tcPr>
            <w:vAlign w:val="center"/>
          </w:tcPr>
          <w:p>
            <w:pPr>
              <w:spacing w:before="0" w:after="0"/>
            </w:pPr>
            <w:r>
              <w:rPr>
                <w:color w:val="1a202c"/>
                <w:sz w:val="20"/>
              </w:rPr>
              <w:t>Market Presence</w:t>
            </w:r>
          </w:p>
        </w:tc>
        <w:tc>
          <w:tcPr>
            <w:vAlign w:val="center"/>
          </w:tcPr>
          <w:p>
            <w:pPr>
              <w:spacing w:before="0" w:after="0"/>
            </w:pPr>
            <w:r>
              <w:rPr>
                <w:color w:val="1a202c"/>
                <w:sz w:val="20"/>
              </w:rPr>
              <w:t>Scale, customer base, revenue signals, ecosystem strength</w:t>
            </w:r>
          </w:p>
        </w:tc>
        <w:tc>
          <w:tcPr>
            <w:vAlign w:val="center"/>
          </w:tcPr>
          <w:p>
            <w:pPr>
              <w:spacing w:before="0" w:after="0"/>
            </w:pPr>
            <w:r>
              <w:rPr>
                <w:color w:val="1a202c"/>
                <w:sz w:val="20"/>
              </w:rPr>
              <w:t>25%</w:t>
            </w:r>
          </w:p>
        </w:tc>
      </w:tr>
    </w:tbl>
    <w:p>
      <w:pPr>
        <w:pStyle w:val="Heading2"/>
      </w:pPr>
      <w:r>
        <w:t>Tier Classification</w:t>
      </w:r>
    </w:p>
    <w:tbl>
      <w:tblPr>
        <w:tblW w:w="5000" w:type="pct"/>
        <w:tblBorders>
          <w:top w:val="single" w:color="1a365d" w:sz="8"/>
          <w:left w:val="nil"/>
          <w:bottom w:val="single" w:color="1a365d" w:sz="8"/>
          <w:right w:val="nil"/>
          <w:insideH w:val="single" w:color="e2e8f0" w:sz="4"/>
          <w:insideV w:val="nil"/>
        </w:tblBorders>
        <w:tblCellMar>
          <w:top w:w="80" w:type="dxa"/>
          <w:left w:w="120" w:type="dxa"/>
          <w:bottom w:w="80" w:type="dxa"/>
          <w:right w:w="120" w:type="dxa"/>
        </w:tblCellMar>
      </w:tblPr>
      <w:tblGrid>
        <w:gridCol w:w="2000"/>
        <w:gridCol w:w="1500"/>
        <w:gridCol w:w="5000"/>
      </w:tblGrid>
      <w:tr>
        <w:trPr>
          <w:tblHeader/>
        </w:trPr>
        <w:tc>
          <w:tcPr>
            <w:shd w:val="clear" w:fill="edf2f7"/>
            <w:vAlign w:val="center"/>
          </w:tcPr>
          <w:p>
            <w:pPr>
              <w:spacing w:before="0" w:after="0"/>
            </w:pPr>
            <w:r>
              <w:rPr>
                <w:b/>
                <w:color w:val="1a202c"/>
                <w:sz w:val="20"/>
              </w:rPr>
              <w:t>Tier</w:t>
            </w:r>
          </w:p>
        </w:tc>
        <w:tc>
          <w:tcPr>
            <w:shd w:val="clear" w:fill="edf2f7"/>
            <w:vAlign w:val="center"/>
          </w:tcPr>
          <w:p>
            <w:pPr>
              <w:spacing w:before="0" w:after="0"/>
            </w:pPr>
            <w:r>
              <w:rPr>
                <w:b/>
                <w:color w:val="1a202c"/>
                <w:sz w:val="20"/>
              </w:rPr>
              <w:t>Score Range</w:t>
            </w:r>
          </w:p>
        </w:tc>
        <w:tc>
          <w:tcPr>
            <w:shd w:val="clear" w:fill="edf2f7"/>
            <w:vAlign w:val="center"/>
          </w:tcPr>
          <w:p>
            <w:pPr>
              <w:spacing w:before="0" w:after="0"/>
            </w:pPr>
            <w:r>
              <w:rPr>
                <w:b/>
                <w:color w:val="1a202c"/>
                <w:sz w:val="20"/>
              </w:rPr>
              <w:t>Action Required</w:t>
            </w:r>
          </w:p>
        </w:tc>
      </w:tr>
      <w:tr>
        <w:tc>
          <w:tcPr>
            <w:vAlign w:val="center"/>
          </w:tcPr>
          <w:p>
            <w:pPr>
              <w:spacing w:before="0" w:after="0"/>
            </w:pPr>
            <w:r>
              <w:rPr>
                <w:color w:val="1a202c"/>
                <w:sz w:val="20"/>
              </w:rPr>
              <w:t>Tier 1: Leaders</w:t>
            </w:r>
          </w:p>
        </w:tc>
        <w:tc>
          <w:tcPr>
            <w:vAlign w:val="center"/>
          </w:tcPr>
          <w:p>
            <w:pPr>
              <w:spacing w:before="0" w:after="0"/>
            </w:pPr>
            <w:r>
              <w:rPr>
                <w:color w:val="1a202c"/>
                <w:sz w:val="20"/>
              </w:rPr>
              <w:t>4.0 - 5.0</w:t>
            </w:r>
          </w:p>
        </w:tc>
        <w:tc>
          <w:tcPr>
            <w:vAlign w:val="center"/>
          </w:tcPr>
          <w:p>
            <w:pPr>
              <w:spacing w:before="0" w:after="0"/>
            </w:pPr>
            <w:r>
              <w:rPr>
                <w:color w:val="1a202c"/>
                <w:sz w:val="20"/>
              </w:rPr>
              <w:t>Strategic imperatives. Act or monitor within days.</w:t>
            </w:r>
          </w:p>
        </w:tc>
      </w:tr>
      <w:tr>
        <w:tc>
          <w:tcPr>
            <w:vAlign w:val="center"/>
          </w:tcPr>
          <w:p>
            <w:pPr>
              <w:spacing w:before="0" w:after="0"/>
            </w:pPr>
            <w:r>
              <w:rPr>
                <w:color w:val="1a202c"/>
                <w:sz w:val="20"/>
              </w:rPr>
              <w:t>Tier 2: Strong Performers</w:t>
            </w:r>
          </w:p>
        </w:tc>
        <w:tc>
          <w:tcPr>
            <w:vAlign w:val="center"/>
          </w:tcPr>
          <w:p>
            <w:pPr>
              <w:spacing w:before="0" w:after="0"/>
            </w:pPr>
            <w:r>
              <w:rPr>
                <w:color w:val="1a202c"/>
                <w:sz w:val="20"/>
              </w:rPr>
              <w:t>3.0 - 3.9</w:t>
            </w:r>
          </w:p>
        </w:tc>
        <w:tc>
          <w:tcPr>
            <w:vAlign w:val="center"/>
          </w:tcPr>
          <w:p>
            <w:pPr>
              <w:spacing w:before="0" w:after="0"/>
            </w:pPr>
            <w:r>
              <w:rPr>
                <w:color w:val="1a202c"/>
                <w:sz w:val="20"/>
              </w:rPr>
              <w:t>Important developments. Track over weeks.</w:t>
            </w:r>
          </w:p>
        </w:tc>
      </w:tr>
      <w:tr>
        <w:tc>
          <w:tcPr>
            <w:vAlign w:val="center"/>
          </w:tcPr>
          <w:p>
            <w:pPr>
              <w:spacing w:before="0" w:after="0"/>
            </w:pPr>
            <w:r>
              <w:rPr>
                <w:color w:val="1a202c"/>
                <w:sz w:val="20"/>
              </w:rPr>
              <w:t>Tier 3: Contenders</w:t>
            </w:r>
          </w:p>
        </w:tc>
        <w:tc>
          <w:tcPr>
            <w:vAlign w:val="center"/>
          </w:tcPr>
          <w:p>
            <w:pPr>
              <w:spacing w:before="0" w:after="0"/>
            </w:pPr>
            <w:r>
              <w:rPr>
                <w:color w:val="1a202c"/>
                <w:sz w:val="20"/>
              </w:rPr>
              <w:t>&lt; 3.0</w:t>
            </w:r>
          </w:p>
        </w:tc>
        <w:tc>
          <w:tcPr>
            <w:vAlign w:val="center"/>
          </w:tcPr>
          <w:p>
            <w:pPr>
              <w:spacing w:before="0" w:after="0"/>
            </w:pPr>
            <w:r>
              <w:rPr>
                <w:color w:val="1a202c"/>
                <w:sz w:val="20"/>
              </w:rPr>
              <w:t>Watchlist only. Review next cycle.</w:t>
            </w:r>
          </w:p>
        </w:tc>
      </w:tr>
    </w:tbl>
    <w:p>
      <w:pPr>
        <w:pStyle w:val="Heading2"/>
      </w:pPr>
      <w:r>
        <w:t>Source Hierarchy</w:t>
      </w:r>
    </w:p>
    <w:p>
      <w:r>
        <w:t>Sources are prioritised as follows: (1) Company websites, IR pages, earnings calls; (2) Regulatory bodies (ACCC, OAIC, RBA, NZ Commerce Commission); (3) App Store reviews; (4) Wayback Machine for program changes; (5) Google News, PR, industry newsletters; (6) LinkedIn job postings; (7) Patent filings.</w:t>
      </w:r>
    </w:p>
    <w:p>
      <w:pPr>
        <w:pStyle w:val="Heading2"/>
      </w:pPr>
      <w:r>
        <w:t>Entities Evaluated</w:t>
      </w:r>
    </w:p>
    <w:tbl>
      <w:tblPr>
        <w:tblW w:w="5000" w:type="pct"/>
        <w:tblBorders>
          <w:top w:val="single" w:color="1a365d" w:sz="8"/>
          <w:left w:val="nil"/>
          <w:bottom w:val="single" w:color="1a365d" w:sz="8"/>
          <w:right w:val="nil"/>
          <w:insideH w:val="single" w:color="e2e8f0" w:sz="4"/>
          <w:insideV w:val="nil"/>
        </w:tblBorders>
        <w:tblCellMar>
          <w:top w:w="80" w:type="dxa"/>
          <w:left w:w="120" w:type="dxa"/>
          <w:bottom w:w="80" w:type="dxa"/>
          <w:right w:w="120" w:type="dxa"/>
        </w:tblCellMar>
      </w:tblPr>
      <w:tblGrid>
        <w:gridCol w:w="3500"/>
        <w:gridCol w:w="2500"/>
        <w:gridCol w:w="1500"/>
        <w:gridCol w:w="1500"/>
      </w:tblGrid>
      <w:tr>
        <w:trPr>
          <w:tblHeader/>
        </w:trPr>
        <w:tc>
          <w:tcPr>
            <w:shd w:val="clear" w:fill="edf2f7"/>
            <w:vAlign w:val="center"/>
          </w:tcPr>
          <w:p>
            <w:pPr>
              <w:spacing w:before="0" w:after="0"/>
            </w:pPr>
            <w:r>
              <w:rPr>
                <w:b/>
                <w:color w:val="1a202c"/>
                <w:sz w:val="20"/>
              </w:rPr>
              <w:t>Entity</w:t>
            </w:r>
          </w:p>
        </w:tc>
        <w:tc>
          <w:tcPr>
            <w:shd w:val="clear" w:fill="edf2f7"/>
            <w:vAlign w:val="center"/>
          </w:tcPr>
          <w:p>
            <w:pPr>
              <w:spacing w:before="0" w:after="0"/>
            </w:pPr>
            <w:r>
              <w:rPr>
                <w:b/>
                <w:color w:val="1a202c"/>
                <w:sz w:val="20"/>
              </w:rPr>
              <w:t>Category</w:t>
            </w:r>
          </w:p>
        </w:tc>
        <w:tc>
          <w:tcPr>
            <w:shd w:val="clear" w:fill="edf2f7"/>
            <w:vAlign w:val="center"/>
          </w:tcPr>
          <w:p>
            <w:pPr>
              <w:spacing w:before="0" w:after="0"/>
            </w:pPr>
            <w:r>
              <w:rPr>
                <w:b/>
                <w:color w:val="1a202c"/>
                <w:sz w:val="20"/>
              </w:rPr>
              <w:t>Score</w:t>
            </w:r>
          </w:p>
        </w:tc>
        <w:tc>
          <w:tcPr>
            <w:shd w:val="clear" w:fill="edf2f7"/>
            <w:vAlign w:val="center"/>
          </w:tcPr>
          <w:p>
            <w:pPr>
              <w:spacing w:before="0" w:after="0"/>
            </w:pPr>
            <w:r>
              <w:rPr>
                <w:b/>
                <w:color w:val="1a202c"/>
                <w:sz w:val="20"/>
              </w:rPr>
              <w:t>Tier</w:t>
            </w:r>
          </w:p>
        </w:tc>
      </w:tr>
      <w:tr>
        <w:tc>
          <w:tcPr>
            <w:vAlign w:val="center"/>
          </w:tcPr>
          <w:p>
            <w:pPr>
              <w:spacing w:before="0" w:after="0"/>
            </w:pPr>
            <w:r>
              <w:rPr>
                <w:color w:val="1a202c"/>
                <w:sz w:val="20"/>
              </w:rPr>
              <w:t>Qantas Frequent Flyer</w:t>
            </w:r>
          </w:p>
        </w:tc>
        <w:tc>
          <w:tcPr>
            <w:vAlign w:val="center"/>
          </w:tcPr>
          <w:p>
            <w:pPr>
              <w:spacing w:before="0" w:after="0"/>
            </w:pPr>
            <w:r>
              <w:rPr>
                <w:color w:val="1a202c"/>
                <w:sz w:val="20"/>
              </w:rPr>
              <w:t>Airline Loyalty</w:t>
            </w:r>
          </w:p>
        </w:tc>
        <w:tc>
          <w:tcPr>
            <w:vAlign w:val="center"/>
          </w:tcPr>
          <w:p>
            <w:pPr>
              <w:spacing w:before="0" w:after="0"/>
            </w:pPr>
            <w:r>
              <w:rPr>
                <w:color w:val="1a202c"/>
                <w:sz w:val="20"/>
              </w:rPr>
              <w:t>4.5</w:t>
            </w:r>
          </w:p>
        </w:tc>
        <w:tc>
          <w:tcPr>
            <w:vAlign w:val="center"/>
          </w:tcPr>
          <w:p>
            <w:pPr>
              <w:spacing w:before="0" w:after="0"/>
            </w:pPr>
            <w:r>
              <w:rPr>
                <w:color w:val="1a202c"/>
                <w:sz w:val="20"/>
              </w:rPr>
              <w:t>Tier 1</w:t>
            </w:r>
          </w:p>
        </w:tc>
      </w:tr>
      <w:tr>
        <w:tc>
          <w:tcPr>
            <w:vAlign w:val="center"/>
          </w:tcPr>
          <w:p>
            <w:pPr>
              <w:spacing w:before="0" w:after="0"/>
            </w:pPr>
            <w:r>
              <w:rPr>
                <w:color w:val="1a202c"/>
                <w:sz w:val="20"/>
              </w:rPr>
              <w:t>Flybuys</w:t>
            </w:r>
          </w:p>
        </w:tc>
        <w:tc>
          <w:tcPr>
            <w:vAlign w:val="center"/>
          </w:tcPr>
          <w:p>
            <w:pPr>
              <w:spacing w:before="0" w:after="0"/>
            </w:pPr>
            <w:r>
              <w:rPr>
                <w:color w:val="1a202c"/>
                <w:sz w:val="20"/>
              </w:rPr>
              <w:t>Coalition Loyalty</w:t>
            </w:r>
          </w:p>
        </w:tc>
        <w:tc>
          <w:tcPr>
            <w:vAlign w:val="center"/>
          </w:tcPr>
          <w:p>
            <w:pPr>
              <w:spacing w:before="0" w:after="0"/>
            </w:pPr>
            <w:r>
              <w:rPr>
                <w:color w:val="1a202c"/>
                <w:sz w:val="20"/>
              </w:rPr>
              <w:t>4.3</w:t>
            </w:r>
          </w:p>
        </w:tc>
        <w:tc>
          <w:tcPr>
            <w:vAlign w:val="center"/>
          </w:tcPr>
          <w:p>
            <w:pPr>
              <w:spacing w:before="0" w:after="0"/>
            </w:pPr>
            <w:r>
              <w:rPr>
                <w:color w:val="1a202c"/>
                <w:sz w:val="20"/>
              </w:rPr>
              <w:t>Tier 1</w:t>
            </w:r>
          </w:p>
        </w:tc>
      </w:tr>
      <w:tr>
        <w:tc>
          <w:tcPr>
            <w:vAlign w:val="center"/>
          </w:tcPr>
          <w:p>
            <w:pPr>
              <w:spacing w:before="0" w:after="0"/>
            </w:pPr>
            <w:r>
              <w:rPr>
                <w:color w:val="1a202c"/>
                <w:sz w:val="20"/>
              </w:rPr>
              <w:t>Everyday Rewards</w:t>
            </w:r>
          </w:p>
        </w:tc>
        <w:tc>
          <w:tcPr>
            <w:vAlign w:val="center"/>
          </w:tcPr>
          <w:p>
            <w:pPr>
              <w:spacing w:before="0" w:after="0"/>
            </w:pPr>
            <w:r>
              <w:rPr>
                <w:color w:val="1a202c"/>
                <w:sz w:val="20"/>
              </w:rPr>
              <w:t>Retail Loyalty</w:t>
            </w:r>
          </w:p>
        </w:tc>
        <w:tc>
          <w:tcPr>
            <w:vAlign w:val="center"/>
          </w:tcPr>
          <w:p>
            <w:pPr>
              <w:spacing w:before="0" w:after="0"/>
            </w:pPr>
            <w:r>
              <w:rPr>
                <w:color w:val="1a202c"/>
                <w:sz w:val="20"/>
              </w:rPr>
              <w:t>4.2</w:t>
            </w:r>
          </w:p>
        </w:tc>
        <w:tc>
          <w:tcPr>
            <w:vAlign w:val="center"/>
          </w:tcPr>
          <w:p>
            <w:pPr>
              <w:spacing w:before="0" w:after="0"/>
            </w:pPr>
            <w:r>
              <w:rPr>
                <w:color w:val="1a202c"/>
                <w:sz w:val="20"/>
              </w:rPr>
              <w:t>Tier 1</w:t>
            </w:r>
          </w:p>
        </w:tc>
      </w:tr>
      <w:tr>
        <w:tc>
          <w:tcPr>
            <w:vAlign w:val="center"/>
          </w:tcPr>
          <w:p>
            <w:pPr>
              <w:spacing w:before="0" w:after="0"/>
            </w:pPr>
            <w:r>
              <w:rPr>
                <w:color w:val="1a202c"/>
                <w:sz w:val="20"/>
              </w:rPr>
              <w:t>Velocity Frequent Flyer</w:t>
            </w:r>
          </w:p>
        </w:tc>
        <w:tc>
          <w:tcPr>
            <w:vAlign w:val="center"/>
          </w:tcPr>
          <w:p>
            <w:pPr>
              <w:spacing w:before="0" w:after="0"/>
            </w:pPr>
            <w:r>
              <w:rPr>
                <w:color w:val="1a202c"/>
                <w:sz w:val="20"/>
              </w:rPr>
              <w:t>Airline Loyalty</w:t>
            </w:r>
          </w:p>
        </w:tc>
        <w:tc>
          <w:tcPr>
            <w:vAlign w:val="center"/>
          </w:tcPr>
          <w:p>
            <w:pPr>
              <w:spacing w:before="0" w:after="0"/>
            </w:pPr>
            <w:r>
              <w:rPr>
                <w:color w:val="1a202c"/>
                <w:sz w:val="20"/>
              </w:rPr>
              <w:t>3.8</w:t>
            </w:r>
          </w:p>
        </w:tc>
        <w:tc>
          <w:tcPr>
            <w:vAlign w:val="center"/>
          </w:tcPr>
          <w:p>
            <w:pPr>
              <w:spacing w:before="0" w:after="0"/>
            </w:pPr>
            <w:r>
              <w:rPr>
                <w:color w:val="1a202c"/>
                <w:sz w:val="20"/>
              </w:rPr>
              <w:t>Tier 2</w:t>
            </w:r>
          </w:p>
        </w:tc>
      </w:tr>
      <w:tr>
        <w:tc>
          <w:tcPr>
            <w:vAlign w:val="center"/>
          </w:tcPr>
          <w:p>
            <w:pPr>
              <w:spacing w:before="0" w:after="0"/>
            </w:pPr>
            <w:r>
              <w:rPr>
                <w:color w:val="1a202c"/>
                <w:sz w:val="20"/>
              </w:rPr>
              <w:t>MYER one</w:t>
            </w:r>
          </w:p>
        </w:tc>
        <w:tc>
          <w:tcPr>
            <w:vAlign w:val="center"/>
          </w:tcPr>
          <w:p>
            <w:pPr>
              <w:spacing w:before="0" w:after="0"/>
            </w:pPr>
            <w:r>
              <w:rPr>
                <w:color w:val="1a202c"/>
                <w:sz w:val="20"/>
              </w:rPr>
              <w:t>Retail Loyalty</w:t>
            </w:r>
          </w:p>
        </w:tc>
        <w:tc>
          <w:tcPr>
            <w:vAlign w:val="center"/>
          </w:tcPr>
          <w:p>
            <w:pPr>
              <w:spacing w:before="0" w:after="0"/>
            </w:pPr>
            <w:r>
              <w:rPr>
                <w:color w:val="1a202c"/>
                <w:sz w:val="20"/>
              </w:rPr>
              <w:t>3.7</w:t>
            </w:r>
          </w:p>
        </w:tc>
        <w:tc>
          <w:tcPr>
            <w:vAlign w:val="center"/>
          </w:tcPr>
          <w:p>
            <w:pPr>
              <w:spacing w:before="0" w:after="0"/>
            </w:pPr>
            <w:r>
              <w:rPr>
                <w:color w:val="1a202c"/>
                <w:sz w:val="20"/>
              </w:rPr>
              <w:t>Tier 2</w:t>
            </w:r>
          </w:p>
        </w:tc>
      </w:tr>
      <w:tr>
        <w:tc>
          <w:tcPr>
            <w:vAlign w:val="center"/>
          </w:tcPr>
          <w:p>
            <w:pPr>
              <w:spacing w:before="0" w:after="0"/>
            </w:pPr>
            <w:r>
              <w:rPr>
                <w:color w:val="1a202c"/>
                <w:sz w:val="20"/>
              </w:rPr>
              <w:t>Prezzee</w:t>
            </w:r>
          </w:p>
        </w:tc>
        <w:tc>
          <w:tcPr>
            <w:vAlign w:val="center"/>
          </w:tcPr>
          <w:p>
            <w:pPr>
              <w:spacing w:before="0" w:after="0"/>
            </w:pPr>
            <w:r>
              <w:rPr>
                <w:color w:val="1a202c"/>
                <w:sz w:val="20"/>
              </w:rPr>
              <w:t>Gift Card Infrastructure</w:t>
            </w:r>
          </w:p>
        </w:tc>
        <w:tc>
          <w:tcPr>
            <w:vAlign w:val="center"/>
          </w:tcPr>
          <w:p>
            <w:pPr>
              <w:spacing w:before="0" w:after="0"/>
            </w:pPr>
            <w:r>
              <w:rPr>
                <w:color w:val="1a202c"/>
                <w:sz w:val="20"/>
              </w:rPr>
              <w:t>3.6</w:t>
            </w:r>
          </w:p>
        </w:tc>
        <w:tc>
          <w:tcPr>
            <w:vAlign w:val="center"/>
          </w:tcPr>
          <w:p>
            <w:pPr>
              <w:spacing w:before="0" w:after="0"/>
            </w:pPr>
            <w:r>
              <w:rPr>
                <w:color w:val="1a202c"/>
                <w:sz w:val="20"/>
              </w:rPr>
              <w:t>Tier 2</w:t>
            </w:r>
          </w:p>
        </w:tc>
      </w:tr>
      <w:tr>
        <w:tc>
          <w:tcPr>
            <w:vAlign w:val="center"/>
          </w:tcPr>
          <w:p>
            <w:pPr>
              <w:spacing w:before="0" w:after="0"/>
            </w:pPr>
            <w:r>
              <w:rPr>
                <w:color w:val="1a202c"/>
                <w:sz w:val="20"/>
              </w:rPr>
              <w:t>ShopBack</w:t>
            </w:r>
          </w:p>
        </w:tc>
        <w:tc>
          <w:tcPr>
            <w:vAlign w:val="center"/>
          </w:tcPr>
          <w:p>
            <w:pPr>
              <w:spacing w:before="0" w:after="0"/>
            </w:pPr>
            <w:r>
              <w:rPr>
                <w:color w:val="1a202c"/>
                <w:sz w:val="20"/>
              </w:rPr>
              <w:t>Cashback Platform</w:t>
            </w:r>
          </w:p>
        </w:tc>
        <w:tc>
          <w:tcPr>
            <w:vAlign w:val="center"/>
          </w:tcPr>
          <w:p>
            <w:pPr>
              <w:spacing w:before="0" w:after="0"/>
            </w:pPr>
            <w:r>
              <w:rPr>
                <w:color w:val="1a202c"/>
                <w:sz w:val="20"/>
              </w:rPr>
              <w:t>3.5</w:t>
            </w:r>
          </w:p>
        </w:tc>
        <w:tc>
          <w:tcPr>
            <w:vAlign w:val="center"/>
          </w:tcPr>
          <w:p>
            <w:pPr>
              <w:spacing w:before="0" w:after="0"/>
            </w:pPr>
            <w:r>
              <w:rPr>
                <w:color w:val="1a202c"/>
                <w:sz w:val="20"/>
              </w:rPr>
              <w:t>Tier 2</w:t>
            </w:r>
          </w:p>
        </w:tc>
      </w:tr>
      <w:tr>
        <w:tc>
          <w:tcPr>
            <w:vAlign w:val="center"/>
          </w:tcPr>
          <w:p>
            <w:pPr>
              <w:spacing w:before="0" w:after="0"/>
            </w:pPr>
            <w:r>
              <w:rPr>
                <w:color w:val="1a202c"/>
                <w:sz w:val="20"/>
              </w:rPr>
              <w:t>Reward Gateway</w:t>
            </w:r>
          </w:p>
        </w:tc>
        <w:tc>
          <w:tcPr>
            <w:vAlign w:val="center"/>
          </w:tcPr>
          <w:p>
            <w:pPr>
              <w:spacing w:before="0" w:after="0"/>
            </w:pPr>
            <w:r>
              <w:rPr>
                <w:color w:val="1a202c"/>
                <w:sz w:val="20"/>
              </w:rPr>
              <w:t>Employee Incentives</w:t>
            </w:r>
          </w:p>
        </w:tc>
        <w:tc>
          <w:tcPr>
            <w:vAlign w:val="center"/>
          </w:tcPr>
          <w:p>
            <w:pPr>
              <w:spacing w:before="0" w:after="0"/>
            </w:pPr>
            <w:r>
              <w:rPr>
                <w:color w:val="1a202c"/>
                <w:sz w:val="20"/>
              </w:rPr>
              <w:t>3.4</w:t>
            </w:r>
          </w:p>
        </w:tc>
        <w:tc>
          <w:tcPr>
            <w:vAlign w:val="center"/>
          </w:tcPr>
          <w:p>
            <w:pPr>
              <w:spacing w:before="0" w:after="0"/>
            </w:pPr>
            <w:r>
              <w:rPr>
                <w:color w:val="1a202c"/>
                <w:sz w:val="20"/>
              </w:rPr>
              <w:t>Tier 2</w:t>
            </w:r>
          </w:p>
        </w:tc>
      </w:tr>
    </w:tbl>
    <w:p>
      <w:pPr>
        <w:pStyle w:val="Heading1"/>
      </w:pPr>
      <w:r>
        <w:t>4. Entity Profiles by Tier</w:t>
      </w:r>
    </w:p>
    <w:p>
      <w:pPr>
        <w:pStyle w:val="Heading2"/>
      </w:pPr>
      <w:r>
        <w:t>Tier 1: Leaders (Priority Score &gt;= 4.0)</w:t>
      </w:r>
    </w:p>
    <w:p>
      <w:pPr>
        <w:pBdr>
          <w:bottom w:val="single" w:color="e2e8f0" w:sz="4" w:space="1"/>
        </w:pBdr>
        <w:spacing w:before="400" w:after="80"/>
      </w:pPr>
      <w:r>
        <w:rPr>
          <w:b/>
          <w:color w:val="1a202c"/>
          <w:sz w:val="26"/>
        </w:rPr>
        <w:t>Qantas Frequent Flyer</w:t>
      </w:r>
      <w:r>
        <w:t xml:space="preserve">  |  </w:t>
      </w:r>
      <w:r>
        <w:rPr>
          <w:color w:val="4a5568"/>
        </w:rPr>
        <w:t>Airline Loyalty</w:t>
      </w:r>
      <w:r>
        <w:t xml:space="preserve">  |  </w:t>
      </w:r>
      <w:r>
        <w:rPr>
          <w:b/>
          <w:color w:val="c53030"/>
        </w:rPr>
        <w:t>4.5 (Tier 1)</w:t>
      </w:r>
    </w:p>
    <w:p>
      <w:pPr>
        <w:pStyle w:val="Heading3"/>
      </w:pPr>
      <w:r>
        <w:t>What Changed</w:t>
      </w:r>
    </w:p>
    <w:p>
      <w:r>
        <w:t>February 2026 announcement of 'biggest changes to status in program history':</w:t>
      </w:r>
    </w:p>
    <w:p>
      <w:pPr>
        <w:spacing w:before="40" w:after="40"/>
        <w:ind w:left="360"/>
      </w:pPr>
      <w:r>
        <w:t>• Status Credits on the Ground: Up to 140 additional SC/year from 10 everyday categories (credit cards, retail partners, utilities)</w:t>
      </w:r>
    </w:p>
    <w:p>
      <w:pPr>
        <w:spacing w:before="40" w:after="40"/>
        <w:ind w:left="360"/>
      </w:pPr>
      <w:r>
        <w:t>• Status Credit Rollover: Up to 50% of excess SC carry forward (capped at 100-500 depending on tier)</w:t>
      </w:r>
    </w:p>
    <w:p>
      <w:pPr>
        <w:spacing w:before="40" w:after="40"/>
        <w:ind w:left="360"/>
      </w:pPr>
      <w:r>
        <w:t>• Lifetime Milestones: Forever Gold members earn complimentary Platinum years at 10,000 SC intervals</w:t>
      </w:r>
    </w:p>
    <w:p>
      <w:pPr>
        <w:spacing w:before="40" w:after="40"/>
        <w:ind w:left="360"/>
      </w:pPr>
      <w:r>
        <w:t>• Program Simplification: Points Club and Green Tier retired from late 2026</w:t>
      </w:r>
    </w:p>
    <w:p>
      <w:pPr>
        <w:spacing w:before="40" w:after="40"/>
        <w:ind w:left="360"/>
      </w:pPr>
      <w:r>
        <w:t>• New Digital Experience: Classic Reward seat search tool launched March 2026</w:t>
      </w:r>
    </w:p>
    <w:p>
      <w:pPr>
        <w:pStyle w:val="Heading3"/>
      </w:pPr>
      <w:r>
        <w:t>Strategic Vision Assessment</w:t>
      </w:r>
    </w:p>
    <w:p>
      <w:r>
        <w:t>Qantas is positioning status as an achievable lifestyle goal rather than exclusive frequent flyer perk. The 'on-the-ground' earning model follows a record-breaking 2025 trial. This expands addressable market while maintaining tier scarcity. Roadmap credibility is high - changes are phased through 2026-2027 with clear member communication.</w:t>
      </w:r>
    </w:p>
    <w:p>
      <w:pPr>
        <w:pStyle w:val="Heading3"/>
      </w:pPr>
      <w:r>
        <w:t>Competitive Positioning</w:t>
      </w:r>
    </w:p>
    <w:p>
      <w:r>
        <w:t>Strengths: 18 million members, 40-year program heritage, unmatched partner network, first-mover advantage in ground-based status. Gaps: Qantas Wine and Qantas Marketplace remain underdeveloped vs. potential; Green Tier retirement removes sustainability differentiation.</w:t>
      </w:r>
    </w:p>
    <w:p>
      <w:pPr>
        <w:pStyle w:val="Heading3"/>
      </w:pPr>
      <w:r>
        <w:t>Commercial Implications</w:t>
      </w:r>
    </w:p>
    <w:p>
      <w:r>
        <w:t>The 140 SC 'on-the-ground' allowance creates immediate partnership opportunities. Brands in credit cards, utilities, retail, and fuel can now attach to status-seeking behavior. Digital Glue should monitor Qantas partner announcements for competitive intelligence and potential white space.</w:t>
      </w:r>
    </w:p>
    <w:p>
      <w:pPr>
        <w:pBdr>
          <w:bottom w:val="single" w:color="e2e8f0" w:sz="4" w:space="1"/>
        </w:pBdr>
        <w:spacing w:before="400" w:after="80"/>
      </w:pPr>
      <w:r>
        <w:rPr>
          <w:b/>
          <w:color w:val="1a202c"/>
          <w:sz w:val="26"/>
        </w:rPr>
        <w:t>Flybuys (Coles Group)</w:t>
      </w:r>
      <w:r>
        <w:t xml:space="preserve">  |  </w:t>
      </w:r>
      <w:r>
        <w:rPr>
          <w:color w:val="4a5568"/>
        </w:rPr>
        <w:t>Coalition Loyalty</w:t>
      </w:r>
      <w:r>
        <w:t xml:space="preserve">  |  </w:t>
      </w:r>
      <w:r>
        <w:rPr>
          <w:b/>
          <w:color w:val="c53030"/>
        </w:rPr>
        <w:t>4.3 (Tier 1)</w:t>
      </w:r>
    </w:p>
    <w:p>
      <w:pPr>
        <w:pStyle w:val="Heading3"/>
      </w:pPr>
      <w:r>
        <w:t>What Changed</w:t>
      </w:r>
    </w:p>
    <w:p>
      <w:r>
        <w:t>Active membership grew 4.4% in 2025 with swipe rates up 6%. Flybuys Travel closed October 2025 - members redirected to Velocity transfers. November 2025-January 2026 promotion: 250 bonus Velocity Points on first manual transfer of 1,000+ points, or 500 bonus each for auto-transfer.</w:t>
      </w:r>
    </w:p>
    <w:p>
      <w:pPr>
        <w:pStyle w:val="Heading3"/>
      </w:pPr>
      <w:r>
        <w:t>Strategic Vision Assessment</w:t>
      </w:r>
    </w:p>
    <w:p>
      <w:r>
        <w:t>Flybuys is consolidating around core retail strength while deepening financial services integration. The Velocity partnership (enhanced transfer bonuses) provides travel redemption without operating a travel platform. Program remains data-driven with personalized offers driving engagement.</w:t>
      </w:r>
    </w:p>
    <w:p>
      <w:pPr>
        <w:pStyle w:val="Heading3"/>
      </w:pPr>
      <w:r>
        <w:t>Commercial Implications</w:t>
      </w:r>
    </w:p>
    <w:p>
      <w:r>
        <w:t>Flybuys' 9+ million members and Coles/Wesfarmers ecosystem create a formidable competitive moat. The program's focus on everyday value (fuel discounts, grocery savings) aligns with cost-of-living pressures. For Digital Glue, Flybuys represents both competitor and potential partner - their B2B incentive capabilities are less developed than consumer offerings.</w:t>
      </w:r>
    </w:p>
    <w:p>
      <w:pPr>
        <w:pBdr>
          <w:bottom w:val="single" w:color="e2e8f0" w:sz="4" w:space="1"/>
        </w:pBdr>
        <w:spacing w:before="400" w:after="80"/>
      </w:pPr>
      <w:r>
        <w:rPr>
          <w:b/>
          <w:color w:val="1a202c"/>
          <w:sz w:val="26"/>
        </w:rPr>
        <w:t>Woolworths Everyday Rewards</w:t>
      </w:r>
      <w:r>
        <w:t xml:space="preserve">  |  </w:t>
      </w:r>
      <w:r>
        <w:rPr>
          <w:color w:val="4a5568"/>
        </w:rPr>
        <w:t>Retail Loyalty</w:t>
      </w:r>
      <w:r>
        <w:t xml:space="preserve">  |  </w:t>
      </w:r>
      <w:r>
        <w:rPr>
          <w:b/>
          <w:color w:val="c53030"/>
        </w:rPr>
        <w:t>4.2 (Tier 1)</w:t>
      </w:r>
    </w:p>
    <w:p>
      <w:pPr>
        <w:pStyle w:val="Heading3"/>
      </w:pPr>
      <w:r>
        <w:t>What Changed</w:t>
      </w:r>
    </w:p>
    <w:p>
      <w:r>
        <w:t>Everyday Extra subscription devalued June 2025: 10% BIG W discount removed. Subscribers retain 10% monthly Woolworths discount and 2x points. New Zealand Countdown Onecard fully migrated to Everyday Rewards February 2024. Program now spans Australia and NZ with unified branding.</w:t>
      </w:r>
    </w:p>
    <w:p>
      <w:pPr>
        <w:pStyle w:val="Heading3"/>
      </w:pPr>
      <w:r>
        <w:t>Strategic Vision Assessment</w:t>
      </w:r>
    </w:p>
    <w:p>
      <w:r>
        <w:t>Woolworths is investing in 'Everyday Low Prices' strategy over promotional discounting. The Everyday Extra change reflects this shift. Program benefits from Woolworths Group ecosystem (Woolworths, Big W, BWS, Dan Murphy's) but lacks external partnership depth of Flybuys.</w:t>
      </w:r>
    </w:p>
    <w:p>
      <w:pPr>
        <w:pStyle w:val="Heading3"/>
      </w:pPr>
      <w:r>
        <w:t>Commercial Implications</w:t>
      </w:r>
    </w:p>
    <w:p>
      <w:r>
        <w:t>The Everyday Extra devaluation may drive subscriber churn, creating acquisition opportunities. Woolworths' focus on everyday pricing over loyalty gamification suggests reduced competitive intensity in program innovation. Monitor for partnership expansion signals.</w:t>
      </w:r>
    </w:p>
    <w:p>
      <w:pPr>
        <w:pStyle w:val="Heading2"/>
      </w:pPr>
      <w:r>
        <w:t>Tier 2: Strong Performers (Priority Score 3.0-3.9)</w:t>
      </w:r>
    </w:p>
    <w:p>
      <w:pPr>
        <w:pBdr>
          <w:bottom w:val="single" w:color="e2e8f0" w:sz="4" w:space="1"/>
        </w:pBdr>
        <w:spacing w:before="400" w:after="80"/>
      </w:pPr>
      <w:r>
        <w:rPr>
          <w:b/>
          <w:color w:val="1a202c"/>
          <w:sz w:val="26"/>
        </w:rPr>
        <w:t>Velocity Frequent Flyer</w:t>
      </w:r>
      <w:r>
        <w:t xml:space="preserve">  |  </w:t>
      </w:r>
      <w:r>
        <w:rPr>
          <w:color w:val="4a5568"/>
        </w:rPr>
        <w:t>Airline Loyalty</w:t>
      </w:r>
      <w:r>
        <w:t xml:space="preserve">  |  </w:t>
      </w:r>
      <w:r>
        <w:rPr>
          <w:b/>
          <w:color w:val="dd6b20"/>
        </w:rPr>
        <w:t>3.8 (Tier 2)</w:t>
      </w:r>
    </w:p>
    <w:p>
      <w:pPr>
        <w:pStyle w:val="Heading3"/>
      </w:pPr>
      <w:r>
        <w:t>What Changed</w:t>
      </w:r>
    </w:p>
    <w:p>
      <w:r>
        <w:t>February 2026: Record bonus Status Credit offer - up to 125 bonus SC for 6+ flights flown January-March 2026. April 2025: Transition to spend-based earning complete (1 SC per $12-24). October 2025: Forever Gold and Platinum Plus tiers introduced. Partner changes: Hawaiian Airlines partnership ends June 2025; Etihad partnership ended June 2025.</w:t>
      </w:r>
    </w:p>
    <w:p>
      <w:pPr>
        <w:pStyle w:val="Heading3"/>
      </w:pPr>
      <w:r>
        <w:t>Strategic Vision Assessment</w:t>
      </w:r>
    </w:p>
    <w:p>
      <w:r>
        <w:t>Velocity's spend-based model simplifies earning but removes 'status run' gamification. The 50% VA-flight requirement for tier earning (from October 2025) strengthens core airline engagement but limits partner flexibility. Myer point redemption partnership expands utility.</w:t>
      </w:r>
    </w:p>
    <w:p>
      <w:pPr>
        <w:pStyle w:val="Heading3"/>
      </w:pPr>
      <w:r>
        <w:t>Commercial Implications</w:t>
      </w:r>
    </w:p>
    <w:p>
      <w:r>
        <w:t>Velocity's aggressive bonus SC promotions indicate competitive pressure from Qantas changes. The program's reliance on Virgin Australia flight revenue (50% minimum for tiers) creates vulnerability if corporate travel shifts. Partner expansion opportunities exist in non-airline categories.</w:t>
      </w:r>
    </w:p>
    <w:p>
      <w:pPr>
        <w:pBdr>
          <w:bottom w:val="single" w:color="e2e8f0" w:sz="4" w:space="1"/>
        </w:pBdr>
        <w:spacing w:before="400" w:after="80"/>
      </w:pPr>
      <w:r>
        <w:rPr>
          <w:b/>
          <w:color w:val="1a202c"/>
          <w:sz w:val="26"/>
        </w:rPr>
        <w:t>MYER one</w:t>
      </w:r>
      <w:r>
        <w:t xml:space="preserve">  |  </w:t>
      </w:r>
      <w:r>
        <w:rPr>
          <w:color w:val="4a5568"/>
        </w:rPr>
        <w:t>Retail Loyalty</w:t>
      </w:r>
      <w:r>
        <w:t xml:space="preserve">  |  </w:t>
      </w:r>
      <w:r>
        <w:rPr>
          <w:b/>
          <w:color w:val="dd6b20"/>
        </w:rPr>
        <w:t>3.7 (Tier 2)</w:t>
      </w:r>
    </w:p>
    <w:p>
      <w:pPr>
        <w:pStyle w:val="Heading3"/>
      </w:pPr>
      <w:r>
        <w:t>What Changed</w:t>
      </w:r>
    </w:p>
    <w:p>
      <w:r>
        <w:t>October 2025: Biggest expansion in 20+ years. Card-linked earning launched at Dan Murphy's, DoorDash, Petbarn, MyCar, Lvly. Just Group brands (Just Jeans, Jay Jays, Portmans, Dotti, Jacqui E) migrated to MYER one. 4.7 million active members; 825,000 new joiners in FY25 (50% under 35). Faster redemption: $10 rewards available 24 hours after earning (vs. quarterly). Beauty boxes and treatments for Silver+ members.</w:t>
      </w:r>
    </w:p>
    <w:p>
      <w:pPr>
        <w:pStyle w:val="Heading3"/>
      </w:pPr>
      <w:r>
        <w:t>Strategic Vision Assessment</w:t>
      </w:r>
    </w:p>
    <w:p>
      <w:r>
        <w:t>Led by Olivia Wirth (ex-Qantas Loyalty), MYER one is executing a clear ecosystem strategy. Card-linking via Loyal Solutions enables rapid partner expansion without POS integration. The focus on younger demographics (50% of new members under 35) and beauty/experiential rewards differentiates from supermarket programs.</w:t>
      </w:r>
    </w:p>
    <w:p>
      <w:pPr>
        <w:pStyle w:val="Heading3"/>
      </w:pPr>
      <w:r>
        <w:t>Commercial Implications</w:t>
      </w:r>
    </w:p>
    <w:p>
      <w:r>
        <w:t>MYER one represents a emerging competitor in coalition loyalty. The card-linking model could expand to hundreds of retailers. Digital Glue should evaluate Loyal Solutions technology for client programs and monitor MYER one partner expansion for competitive overlap.</w:t>
      </w:r>
    </w:p>
    <w:p>
      <w:pPr>
        <w:pBdr>
          <w:bottom w:val="single" w:color="e2e8f0" w:sz="4" w:space="1"/>
        </w:pBdr>
        <w:spacing w:before="400" w:after="80"/>
      </w:pPr>
      <w:r>
        <w:rPr>
          <w:b/>
          <w:color w:val="1a202c"/>
          <w:sz w:val="26"/>
        </w:rPr>
        <w:t>Prezzee</w:t>
      </w:r>
      <w:r>
        <w:t xml:space="preserve">  |  </w:t>
      </w:r>
      <w:r>
        <w:rPr>
          <w:color w:val="4a5568"/>
        </w:rPr>
        <w:t>Gift Card Infrastructure</w:t>
      </w:r>
      <w:r>
        <w:t xml:space="preserve">  |  </w:t>
      </w:r>
      <w:r>
        <w:rPr>
          <w:b/>
          <w:color w:val="dd6b20"/>
        </w:rPr>
        <w:t>3.6 (Tier 2)</w:t>
      </w:r>
    </w:p>
    <w:p>
      <w:pPr>
        <w:pStyle w:val="Heading3"/>
      </w:pPr>
      <w:r>
        <w:t>What Changed</w:t>
      </w:r>
    </w:p>
    <w:p>
      <w:r>
        <w:t>November 2025: PrezzeePay launched - global gift card platform enabling retailers to offer unified gifting across 183 countries without POS changes. AFSL obtained for PrezzeePay subsidiary. Consumer launch scheduled early 2026. AUD 3.4 billion in card sales disclosed with 178% revenue growth.</w:t>
      </w:r>
    </w:p>
    <w:p>
      <w:pPr>
        <w:pStyle w:val="Heading3"/>
      </w:pPr>
      <w:r>
        <w:t>Strategic Vision Assessment</w:t>
      </w:r>
    </w:p>
    <w:p>
      <w:r>
        <w:t>Prezzee is evolving from gift card marketplace to infrastructure platform. PrezzeePay targets Gen Z preferences (80% favor cashless, 60% mobile-first). The global acceptance capability addresses a long-standing franchise retailer pain point.</w:t>
      </w:r>
    </w:p>
    <w:p>
      <w:pPr>
        <w:pStyle w:val="Heading3"/>
      </w:pPr>
      <w:r>
        <w:t>Commercial Implications</w:t>
      </w:r>
    </w:p>
    <w:p>
      <w:r>
        <w:t>PrezzeePay's launch creates both opportunity and threat. Brands can now offer global gift programs with minimal integration, but Prezzee's enterprise capabilities may compete with Digital Glue's core offering. Monitor pricing and feature differentiation.</w:t>
      </w:r>
    </w:p>
    <w:p>
      <w:pPr>
        <w:pBdr>
          <w:bottom w:val="single" w:color="e2e8f0" w:sz="4" w:space="1"/>
        </w:pBdr>
        <w:spacing w:before="400" w:after="80"/>
      </w:pPr>
      <w:r>
        <w:rPr>
          <w:b/>
          <w:color w:val="1a202c"/>
          <w:sz w:val="26"/>
        </w:rPr>
        <w:t>ShopBack</w:t>
      </w:r>
      <w:r>
        <w:t xml:space="preserve">  |  </w:t>
      </w:r>
      <w:r>
        <w:rPr>
          <w:color w:val="4a5568"/>
        </w:rPr>
        <w:t>Cashback Platform</w:t>
      </w:r>
      <w:r>
        <w:t xml:space="preserve">  |  </w:t>
      </w:r>
      <w:r>
        <w:rPr>
          <w:b/>
          <w:color w:val="dd6b20"/>
        </w:rPr>
        <w:t>3.5 (Tier 2)</w:t>
      </w:r>
    </w:p>
    <w:p>
      <w:pPr>
        <w:pStyle w:val="Heading3"/>
      </w:pPr>
      <w:r>
        <w:t>What Changed</w:t>
      </w:r>
    </w:p>
    <w:p>
      <w:r>
        <w:t>March 2026: ShopBack Pay (in-store QR payments) discontinued. Focus shifting to ShopBack Receipts for in-store earning. Cashrewards closure (September 2025) leaves ShopBack as dominant cashback player. 2.5 million members in Australia.</w:t>
      </w:r>
    </w:p>
    <w:p>
      <w:pPr>
        <w:pStyle w:val="Heading3"/>
      </w:pPr>
      <w:r>
        <w:t>Strategic Vision Assessment</w:t>
      </w:r>
    </w:p>
    <w:p>
      <w:r>
        <w:t>ShopBack is retrenching from payment processing to core cashback strengths. The Receipts product offers lower friction but requires behavior change. Without Cashrewards competition, ShopBack faces reduced pressure to innovate.</w:t>
      </w:r>
    </w:p>
    <w:p>
      <w:pPr>
        <w:pStyle w:val="Heading3"/>
      </w:pPr>
      <w:r>
        <w:t>Commercial Implications</w:t>
      </w:r>
    </w:p>
    <w:p>
      <w:r>
        <w:t>Cashback category consolidation creates white space for alternative incentive models. ShopBack's reduced in-store presence may drive merchant demand for replacement solutions. Digital Glue could position receipt-based or card-linked alternatives.</w:t>
      </w:r>
    </w:p>
    <w:p>
      <w:pPr>
        <w:pBdr>
          <w:bottom w:val="single" w:color="e2e8f0" w:sz="4" w:space="1"/>
        </w:pBdr>
        <w:spacing w:before="400" w:after="80"/>
      </w:pPr>
      <w:r>
        <w:rPr>
          <w:b/>
          <w:color w:val="1a202c"/>
          <w:sz w:val="26"/>
        </w:rPr>
        <w:t>Reward Gateway | Edenred</w:t>
      </w:r>
      <w:r>
        <w:t xml:space="preserve">  |  </w:t>
      </w:r>
      <w:r>
        <w:rPr>
          <w:color w:val="4a5568"/>
        </w:rPr>
        <w:t>Employee Incentives</w:t>
      </w:r>
      <w:r>
        <w:t xml:space="preserve">  |  </w:t>
      </w:r>
      <w:r>
        <w:rPr>
          <w:b/>
          <w:color w:val="dd6b20"/>
        </w:rPr>
        <w:t>3.4 (Tier 2)</w:t>
      </w:r>
    </w:p>
    <w:p>
      <w:pPr>
        <w:pStyle w:val="Heading3"/>
      </w:pPr>
      <w:r>
        <w:t>What Changed</w:t>
      </w:r>
    </w:p>
    <w:p>
      <w:r>
        <w:t>2025 milestone: AUD 31 million in employee savings (up 10% YoY). 1 in 12 working Australians supported by platform. Summer 2025 product update: Wellbeing Centre 2.0, Curated Rewards, improved user profiles. Engage app launching 2026 - unified employee engagement platform. AI-powered assistant and Recognition Companion in development.</w:t>
      </w:r>
    </w:p>
    <w:p>
      <w:pPr>
        <w:pStyle w:val="Heading3"/>
      </w:pPr>
      <w:r>
        <w:t>Commercial Implications</w:t>
      </w:r>
    </w:p>
    <w:p>
      <w:r>
        <w:t>Reward Gateway's scale and enterprise focus make them a key competitor in B2B incentives. The Engage app consolidation trend (discounts, recognition, wellbeing, surveys in one platform) represents category evolution. Digital Glue should evaluate feature parity and differentiation.</w:t>
      </w:r>
    </w:p>
    <w:p>
      <w:pPr>
        <w:pStyle w:val="Heading2"/>
      </w:pPr>
      <w:r>
        <w:t>Tier 3: Contenders (Priority Score &lt; 3.0)</w:t>
      </w:r>
    </w:p>
    <w:p>
      <w:pPr>
        <w:pBdr>
          <w:bottom w:val="single" w:color="e2e8f0" w:sz="4" w:space="1"/>
        </w:pBdr>
        <w:spacing w:before="400" w:after="80"/>
      </w:pPr>
      <w:r>
        <w:rPr>
          <w:b/>
          <w:color w:val="1a202c"/>
          <w:sz w:val="26"/>
        </w:rPr>
        <w:t>Air New Zealand Airpoints</w:t>
      </w:r>
      <w:r>
        <w:t xml:space="preserve">  |  </w:t>
      </w:r>
      <w:r>
        <w:rPr>
          <w:color w:val="4a5568"/>
        </w:rPr>
        <w:t>Airline Loyalty</w:t>
      </w:r>
      <w:r>
        <w:t xml:space="preserve">  |  </w:t>
      </w:r>
      <w:r>
        <w:rPr>
          <w:b/>
          <w:color w:val="38a169"/>
        </w:rPr>
        <w:t>2.9 (Tier 3)</w:t>
      </w:r>
    </w:p>
    <w:p>
      <w:r>
        <w:t>April 2026: Complete Airpoints rebrand to 'Koru' launching. New tier structure with additional top-earned tier. Shairpoints (family pooling) continues. Limited partner ecosystem vs. Australian programs. NZ market isolation constrains growth.</w:t>
      </w:r>
    </w:p>
    <w:p>
      <w:pPr>
        <w:pBdr>
          <w:bottom w:val="single" w:color="e2e8f0" w:sz="4" w:space="1"/>
        </w:pBdr>
        <w:spacing w:before="400" w:after="80"/>
      </w:pPr>
      <w:r>
        <w:rPr>
          <w:b/>
          <w:color w:val="1a202c"/>
          <w:sz w:val="26"/>
        </w:rPr>
        <w:t>Afterpay</w:t>
      </w:r>
      <w:r>
        <w:t xml:space="preserve">  |  </w:t>
      </w:r>
      <w:r>
        <w:rPr>
          <w:color w:val="4a5568"/>
        </w:rPr>
        <w:t>BNPL / Loyalty</w:t>
      </w:r>
      <w:r>
        <w:t xml:space="preserve">  |  </w:t>
      </w:r>
      <w:r>
        <w:rPr>
          <w:b/>
          <w:color w:val="38a169"/>
        </w:rPr>
        <w:t>2.7 (Tier 3)</w:t>
      </w:r>
    </w:p>
    <w:p>
      <w:r>
        <w:t>Pulse Rewards program rewards on-time payments (not spending). 15+ on-time payments on orders $40+ in 6-month period required. Benefits include no upfront payment on eligible purchases and exclusive retailer discounts. Program complexity and contradictory incentives (rewarding repayment behavior while generating late fee revenue) limit appeal.</w:t>
      </w:r>
    </w:p>
    <w:p>
      <w:pPr>
        <w:pBdr>
          <w:bottom w:val="single" w:color="e2e8f0" w:sz="4" w:space="1"/>
        </w:pBdr>
        <w:spacing w:before="400" w:after="80"/>
      </w:pPr>
      <w:r>
        <w:rPr>
          <w:b/>
          <w:color w:val="1a202c"/>
          <w:sz w:val="26"/>
        </w:rPr>
        <w:t>LoyaltyLion</w:t>
      </w:r>
      <w:r>
        <w:t xml:space="preserve">  |  </w:t>
      </w:r>
      <w:r>
        <w:rPr>
          <w:color w:val="4a5568"/>
        </w:rPr>
        <w:t>Loyalty Platform</w:t>
      </w:r>
      <w:r>
        <w:t xml:space="preserve">  |  </w:t>
      </w:r>
      <w:r>
        <w:rPr>
          <w:b/>
          <w:color w:val="38a169"/>
        </w:rPr>
        <w:t>2.5 (Tier 3)</w:t>
      </w:r>
    </w:p>
    <w:p>
      <w:r>
        <w:t>Shopify-native loyalty platform with 319% reported uplift in repurchase rates for clients. AI-powered segmentation and VIP tiers. Primarily serves SMB/mid-market ecommerce. Limited enterprise presence in ANZ.</w:t>
      </w:r>
    </w:p>
    <w:p>
      <w:pPr>
        <w:pBdr>
          <w:bottom w:val="single" w:color="e2e8f0" w:sz="4" w:space="1"/>
        </w:pBdr>
        <w:spacing w:before="400" w:after="80"/>
      </w:pPr>
      <w:r>
        <w:rPr>
          <w:b/>
          <w:color w:val="1a202c"/>
          <w:sz w:val="26"/>
        </w:rPr>
        <w:t>American Express AU/NZ</w:t>
      </w:r>
      <w:r>
        <w:t xml:space="preserve">  |  </w:t>
      </w:r>
      <w:r>
        <w:rPr>
          <w:color w:val="4a5568"/>
        </w:rPr>
        <w:t>Card Loyalty</w:t>
      </w:r>
      <w:r>
        <w:t xml:space="preserve">  |  </w:t>
      </w:r>
      <w:r>
        <w:rPr>
          <w:b/>
          <w:color w:val="38a169"/>
        </w:rPr>
        <w:t>2.8 (Tier 3)</w:t>
      </w:r>
    </w:p>
    <w:p>
      <w:r>
        <w:t>Strong travel benefits (lounge access, travel credits) but high annual fees ($395-1,450). Membership Rewards program competes with bank programs. Qantas and Velocity co-branded cards face regulatory pressure on interchange fees.</w:t>
      </w:r>
    </w:p>
    <w:p>
      <w:pPr>
        <w:pBdr>
          <w:bottom w:val="single" w:color="e2e8f0" w:sz="4" w:space="1"/>
        </w:pBdr>
        <w:spacing w:before="400" w:after="80"/>
      </w:pPr>
      <w:r>
        <w:rPr>
          <w:b/>
          <w:color w:val="1a202c"/>
          <w:sz w:val="26"/>
        </w:rPr>
        <w:t>Commonwealth Bank (CommBank Yello)</w:t>
      </w:r>
      <w:r>
        <w:t xml:space="preserve">  |  </w:t>
      </w:r>
      <w:r>
        <w:rPr>
          <w:color w:val="4a5568"/>
        </w:rPr>
        <w:t>Bank Loyalty</w:t>
      </w:r>
      <w:r>
        <w:t xml:space="preserve">  |  </w:t>
      </w:r>
      <w:r>
        <w:rPr>
          <w:b/>
          <w:color w:val="38a169"/>
        </w:rPr>
        <w:t>2.6 (Tier 3)</w:t>
      </w:r>
    </w:p>
    <w:p>
      <w:r>
        <w:t>CommBank Yello recognition layer integrated with banking app. Awards program for credit card customers. Partnership with Karta for simplified gift cards (September 2023). Limited differentiation from other Big Four bank programs.</w:t>
      </w:r>
    </w:p>
    <w:p>
      <w:pPr>
        <w:pStyle w:val="Heading1"/>
      </w:pPr>
      <w:r>
        <w:t>5. Demand Signals by Vertical</w:t>
      </w:r>
    </w:p>
    <w:tbl>
      <w:tblPr>
        <w:tblW w:w="5000" w:type="pct"/>
        <w:tblBorders>
          <w:top w:val="single" w:color="1a365d" w:sz="8"/>
          <w:left w:val="nil"/>
          <w:bottom w:val="single" w:color="1a365d" w:sz="8"/>
          <w:right w:val="nil"/>
          <w:insideH w:val="single" w:color="e2e8f0" w:sz="4"/>
          <w:insideV w:val="nil"/>
        </w:tblBorders>
        <w:tblCellMar>
          <w:top w:w="80" w:type="dxa"/>
          <w:left w:w="120" w:type="dxa"/>
          <w:bottom w:w="80" w:type="dxa"/>
          <w:right w:w="120" w:type="dxa"/>
        </w:tblCellMar>
      </w:tblPr>
      <w:tblGrid>
        <w:gridCol w:w="2000"/>
        <w:gridCol w:w="2000"/>
        <w:gridCol w:w="2500"/>
        <w:gridCol w:w="2500"/>
      </w:tblGrid>
      <w:tr>
        <w:trPr>
          <w:tblHeader/>
        </w:trPr>
        <w:tc>
          <w:tcPr>
            <w:shd w:val="clear" w:fill="edf2f7"/>
            <w:vAlign w:val="center"/>
          </w:tcPr>
          <w:p>
            <w:pPr>
              <w:spacing w:before="0" w:after="0"/>
            </w:pPr>
            <w:r>
              <w:rPr>
                <w:b/>
                <w:color w:val="1a202c"/>
                <w:sz w:val="20"/>
              </w:rPr>
              <w:t>Vertical</w:t>
            </w:r>
          </w:p>
        </w:tc>
        <w:tc>
          <w:tcPr>
            <w:shd w:val="clear" w:fill="edf2f7"/>
            <w:vAlign w:val="center"/>
          </w:tcPr>
          <w:p>
            <w:pPr>
              <w:spacing w:before="0" w:after="0"/>
            </w:pPr>
            <w:r>
              <w:rPr>
                <w:b/>
                <w:color w:val="1a202c"/>
                <w:sz w:val="20"/>
              </w:rPr>
              <w:t>Entity</w:t>
            </w:r>
          </w:p>
        </w:tc>
        <w:tc>
          <w:tcPr>
            <w:shd w:val="clear" w:fill="edf2f7"/>
            <w:vAlign w:val="center"/>
          </w:tcPr>
          <w:p>
            <w:pPr>
              <w:spacing w:before="0" w:after="0"/>
            </w:pPr>
            <w:r>
              <w:rPr>
                <w:b/>
                <w:color w:val="1a202c"/>
                <w:sz w:val="20"/>
              </w:rPr>
              <w:t>Indicator</w:t>
            </w:r>
          </w:p>
        </w:tc>
        <w:tc>
          <w:tcPr>
            <w:shd w:val="clear" w:fill="edf2f7"/>
            <w:vAlign w:val="center"/>
          </w:tcPr>
          <w:p>
            <w:pPr>
              <w:spacing w:before="0" w:after="0"/>
            </w:pPr>
            <w:r>
              <w:rPr>
                <w:b/>
                <w:color w:val="1a202c"/>
                <w:sz w:val="20"/>
              </w:rPr>
              <w:t>Implication</w:t>
            </w:r>
          </w:p>
        </w:tc>
      </w:tr>
      <w:tr>
        <w:tc>
          <w:tcPr>
            <w:vAlign w:val="center"/>
          </w:tcPr>
          <w:p>
            <w:pPr>
              <w:spacing w:before="0" w:after="0"/>
            </w:pPr>
            <w:r>
              <w:rPr>
                <w:color w:val="1a202c"/>
                <w:sz w:val="20"/>
              </w:rPr>
              <w:t>Retail</w:t>
            </w:r>
          </w:p>
        </w:tc>
        <w:tc>
          <w:tcPr>
            <w:vAlign w:val="center"/>
          </w:tcPr>
          <w:p>
            <w:pPr>
              <w:spacing w:before="0" w:after="0"/>
            </w:pPr>
            <w:r>
              <w:rPr>
                <w:color w:val="1a202c"/>
                <w:sz w:val="20"/>
              </w:rPr>
              <w:t>Myer</w:t>
            </w:r>
          </w:p>
        </w:tc>
        <w:tc>
          <w:tcPr>
            <w:vAlign w:val="center"/>
          </w:tcPr>
          <w:p>
            <w:pPr>
              <w:spacing w:before="0" w:after="0"/>
            </w:pPr>
            <w:r>
              <w:rPr>
                <w:color w:val="1a202c"/>
                <w:sz w:val="20"/>
              </w:rPr>
              <w:t>825K new members (50% under 35)</w:t>
            </w:r>
          </w:p>
        </w:tc>
        <w:tc>
          <w:tcPr>
            <w:vAlign w:val="center"/>
          </w:tcPr>
          <w:p>
            <w:pPr>
              <w:spacing w:before="0" w:after="0"/>
            </w:pPr>
            <w:r>
              <w:rPr>
                <w:color w:val="1a202c"/>
                <w:sz w:val="20"/>
              </w:rPr>
              <w:t>Youth-focused retail loyalty gaining traction</w:t>
            </w:r>
          </w:p>
        </w:tc>
      </w:tr>
      <w:tr>
        <w:tc>
          <w:tcPr>
            <w:vAlign w:val="center"/>
          </w:tcPr>
          <w:p>
            <w:pPr>
              <w:spacing w:before="0" w:after="0"/>
            </w:pPr>
            <w:r>
              <w:rPr>
                <w:color w:val="1a202c"/>
                <w:sz w:val="20"/>
              </w:rPr>
              <w:t>Grocery</w:t>
            </w:r>
          </w:p>
        </w:tc>
        <w:tc>
          <w:tcPr>
            <w:vAlign w:val="center"/>
          </w:tcPr>
          <w:p>
            <w:pPr>
              <w:spacing w:before="0" w:after="0"/>
            </w:pPr>
            <w:r>
              <w:rPr>
                <w:color w:val="1a202c"/>
                <w:sz w:val="20"/>
              </w:rPr>
              <w:t>Woolworths</w:t>
            </w:r>
          </w:p>
        </w:tc>
        <w:tc>
          <w:tcPr>
            <w:vAlign w:val="center"/>
          </w:tcPr>
          <w:p>
            <w:pPr>
              <w:spacing w:before="0" w:after="0"/>
            </w:pPr>
            <w:r>
              <w:rPr>
                <w:color w:val="1a202c"/>
                <w:sz w:val="20"/>
              </w:rPr>
              <w:t>Everyday Extra devaluation</w:t>
            </w:r>
          </w:p>
        </w:tc>
        <w:tc>
          <w:tcPr>
            <w:vAlign w:val="center"/>
          </w:tcPr>
          <w:p>
            <w:pPr>
              <w:spacing w:before="0" w:after="0"/>
            </w:pPr>
            <w:r>
              <w:rPr>
                <w:color w:val="1a202c"/>
                <w:sz w:val="20"/>
              </w:rPr>
              <w:t>Subscription churn risk creates opportunities</w:t>
            </w:r>
          </w:p>
        </w:tc>
      </w:tr>
      <w:tr>
        <w:tc>
          <w:tcPr>
            <w:vAlign w:val="center"/>
          </w:tcPr>
          <w:p>
            <w:pPr>
              <w:spacing w:before="0" w:after="0"/>
            </w:pPr>
            <w:r>
              <w:rPr>
                <w:color w:val="1a202c"/>
                <w:sz w:val="20"/>
              </w:rPr>
              <w:t>Travel</w:t>
            </w:r>
          </w:p>
        </w:tc>
        <w:tc>
          <w:tcPr>
            <w:vAlign w:val="center"/>
          </w:tcPr>
          <w:p>
            <w:pPr>
              <w:spacing w:before="0" w:after="0"/>
            </w:pPr>
            <w:r>
              <w:rPr>
                <w:color w:val="1a202c"/>
                <w:sz w:val="20"/>
              </w:rPr>
              <w:t>Qantas</w:t>
            </w:r>
          </w:p>
        </w:tc>
        <w:tc>
          <w:tcPr>
            <w:vAlign w:val="center"/>
          </w:tcPr>
          <w:p>
            <w:pPr>
              <w:spacing w:before="0" w:after="0"/>
            </w:pPr>
            <w:r>
              <w:rPr>
                <w:color w:val="1a202c"/>
                <w:sz w:val="20"/>
              </w:rPr>
              <w:t>140 SC on-the-ground earning</w:t>
            </w:r>
          </w:p>
        </w:tc>
        <w:tc>
          <w:tcPr>
            <w:vAlign w:val="center"/>
          </w:tcPr>
          <w:p>
            <w:pPr>
              <w:spacing w:before="0" w:after="0"/>
            </w:pPr>
            <w:r>
              <w:rPr>
                <w:color w:val="1a202c"/>
                <w:sz w:val="20"/>
              </w:rPr>
              <w:t>New partnership categories opening</w:t>
            </w:r>
          </w:p>
        </w:tc>
      </w:tr>
      <w:tr>
        <w:tc>
          <w:tcPr>
            <w:vAlign w:val="center"/>
          </w:tcPr>
          <w:p>
            <w:pPr>
              <w:spacing w:before="0" w:after="0"/>
            </w:pPr>
            <w:r>
              <w:rPr>
                <w:color w:val="1a202c"/>
                <w:sz w:val="20"/>
              </w:rPr>
              <w:t>Payments</w:t>
            </w:r>
          </w:p>
        </w:tc>
        <w:tc>
          <w:tcPr>
            <w:vAlign w:val="center"/>
          </w:tcPr>
          <w:p>
            <w:pPr>
              <w:spacing w:before="0" w:after="0"/>
            </w:pPr>
            <w:r>
              <w:rPr>
                <w:color w:val="1a202c"/>
                <w:sz w:val="20"/>
              </w:rPr>
              <w:t>Prezzee</w:t>
            </w:r>
          </w:p>
        </w:tc>
        <w:tc>
          <w:tcPr>
            <w:vAlign w:val="center"/>
          </w:tcPr>
          <w:p>
            <w:pPr>
              <w:spacing w:before="0" w:after="0"/>
            </w:pPr>
            <w:r>
              <w:rPr>
                <w:color w:val="1a202c"/>
                <w:sz w:val="20"/>
              </w:rPr>
              <w:t>178% revenue growth</w:t>
            </w:r>
          </w:p>
        </w:tc>
        <w:tc>
          <w:tcPr>
            <w:vAlign w:val="center"/>
          </w:tcPr>
          <w:p>
            <w:pPr>
              <w:spacing w:before="0" w:after="0"/>
            </w:pPr>
            <w:r>
              <w:rPr>
                <w:color w:val="1a202c"/>
                <w:sz w:val="20"/>
              </w:rPr>
              <w:t>Digital incentives demand accelerating</w:t>
            </w:r>
          </w:p>
        </w:tc>
      </w:tr>
      <w:tr>
        <w:tc>
          <w:tcPr>
            <w:vAlign w:val="center"/>
          </w:tcPr>
          <w:p>
            <w:pPr>
              <w:spacing w:before="0" w:after="0"/>
            </w:pPr>
            <w:r>
              <w:rPr>
                <w:color w:val="1a202c"/>
                <w:sz w:val="20"/>
              </w:rPr>
              <w:t>Fintech</w:t>
            </w:r>
          </w:p>
        </w:tc>
        <w:tc>
          <w:tcPr>
            <w:vAlign w:val="center"/>
          </w:tcPr>
          <w:p>
            <w:pPr>
              <w:spacing w:before="0" w:after="0"/>
            </w:pPr>
            <w:r>
              <w:rPr>
                <w:color w:val="1a202c"/>
                <w:sz w:val="20"/>
              </w:rPr>
              <w:t>Afterpay</w:t>
            </w:r>
          </w:p>
        </w:tc>
        <w:tc>
          <w:tcPr>
            <w:vAlign w:val="center"/>
          </w:tcPr>
          <w:p>
            <w:pPr>
              <w:spacing w:before="0" w:after="0"/>
            </w:pPr>
            <w:r>
              <w:rPr>
                <w:color w:val="1a202c"/>
                <w:sz w:val="20"/>
              </w:rPr>
              <w:t>Pulse Rewards complexity</w:t>
            </w:r>
          </w:p>
        </w:tc>
        <w:tc>
          <w:tcPr>
            <w:vAlign w:val="center"/>
          </w:tcPr>
          <w:p>
            <w:pPr>
              <w:spacing w:before="0" w:after="0"/>
            </w:pPr>
            <w:r>
              <w:rPr>
                <w:color w:val="1a202c"/>
                <w:sz w:val="20"/>
              </w:rPr>
              <w:t>BNPL loyalty struggling to find product-fit</w:t>
            </w:r>
          </w:p>
        </w:tc>
      </w:tr>
      <w:tr>
        <w:tc>
          <w:tcPr>
            <w:vAlign w:val="center"/>
          </w:tcPr>
          <w:p>
            <w:pPr>
              <w:spacing w:before="0" w:after="0"/>
            </w:pPr>
            <w:r>
              <w:rPr>
                <w:color w:val="1a202c"/>
                <w:sz w:val="20"/>
              </w:rPr>
              <w:t>Enterprise</w:t>
            </w:r>
          </w:p>
        </w:tc>
        <w:tc>
          <w:tcPr>
            <w:vAlign w:val="center"/>
          </w:tcPr>
          <w:p>
            <w:pPr>
              <w:spacing w:before="0" w:after="0"/>
            </w:pPr>
            <w:r>
              <w:rPr>
                <w:color w:val="1a202c"/>
                <w:sz w:val="20"/>
              </w:rPr>
              <w:t>Reward Gateway</w:t>
            </w:r>
          </w:p>
        </w:tc>
        <w:tc>
          <w:tcPr>
            <w:vAlign w:val="center"/>
          </w:tcPr>
          <w:p>
            <w:pPr>
              <w:spacing w:before="0" w:after="0"/>
            </w:pPr>
            <w:r>
              <w:rPr>
                <w:color w:val="1a202c"/>
                <w:sz w:val="20"/>
              </w:rPr>
              <w:t>1 in 12 Australians supported</w:t>
            </w:r>
          </w:p>
        </w:tc>
        <w:tc>
          <w:tcPr>
            <w:vAlign w:val="center"/>
          </w:tcPr>
          <w:p>
            <w:pPr>
              <w:spacing w:before="0" w:after="0"/>
            </w:pPr>
            <w:r>
              <w:rPr>
                <w:color w:val="1a202c"/>
                <w:sz w:val="20"/>
              </w:rPr>
              <w:t>Employee incentives market consolidating</w:t>
            </w:r>
          </w:p>
        </w:tc>
      </w:tr>
    </w:tbl>
    <w:p>
      <w:pPr>
        <w:pStyle w:val="Heading1"/>
      </w:pPr>
      <w:r>
        <w:t>6. Competitor &amp; Partner Watch</w:t>
      </w:r>
    </w:p>
    <w:p>
      <w:pPr>
        <w:pStyle w:val="Heading2"/>
      </w:pPr>
      <w:r>
        <w:t>Launches</w:t>
      </w:r>
    </w:p>
    <w:p>
      <w:pPr>
        <w:spacing w:before="40" w:after="40"/>
        <w:ind w:left="360"/>
      </w:pPr>
      <w:r>
        <w:t>• PrezzeePay (November 2025): Global gift card platform for retailers</w:t>
      </w:r>
    </w:p>
    <w:p>
      <w:pPr>
        <w:spacing w:before="40" w:after="40"/>
        <w:ind w:left="360"/>
      </w:pPr>
      <w:r>
        <w:t>• Myer One Card-Linking (November 2025): Partner earning via Visa/Mastercard link</w:t>
      </w:r>
    </w:p>
    <w:p>
      <w:pPr>
        <w:spacing w:before="40" w:after="40"/>
        <w:ind w:left="360"/>
      </w:pPr>
      <w:r>
        <w:t>• Qantas Classic Reward Search Tool (March 2026): Partner airline seat inventory</w:t>
      </w:r>
    </w:p>
    <w:p>
      <w:pPr>
        <w:spacing w:before="40" w:after="40"/>
        <w:ind w:left="360"/>
      </w:pPr>
      <w:r>
        <w:t>• Air New Zealand Koru (April 2026): Rebranded loyalty program with new tiers</w:t>
      </w:r>
    </w:p>
    <w:p>
      <w:pPr>
        <w:pStyle w:val="Heading2"/>
      </w:pPr>
      <w:r>
        <w:t>Partnerships</w:t>
      </w:r>
    </w:p>
    <w:p>
      <w:pPr>
        <w:spacing w:before="40" w:after="40"/>
        <w:ind w:left="360"/>
      </w:pPr>
      <w:r>
        <w:t>• Myer + Loyal Solutions: Card-linking technology for partner earning</w:t>
      </w:r>
    </w:p>
    <w:p>
      <w:pPr>
        <w:spacing w:before="40" w:after="40"/>
        <w:ind w:left="360"/>
      </w:pPr>
      <w:r>
        <w:t>• Myer + Velocity: Point redemption partnership expanded</w:t>
      </w:r>
    </w:p>
    <w:p>
      <w:pPr>
        <w:spacing w:before="40" w:after="40"/>
        <w:ind w:left="360"/>
      </w:pPr>
      <w:r>
        <w:t>• Flybuys + Velocity: Enhanced transfer bonuses (250-500 bonus points)</w:t>
      </w:r>
    </w:p>
    <w:p>
      <w:pPr>
        <w:spacing w:before="40" w:after="40"/>
        <w:ind w:left="360"/>
      </w:pPr>
      <w:r>
        <w:t>• Westpac + ShopBack: Collaboration for cashback offers</w:t>
      </w:r>
    </w:p>
    <w:p>
      <w:pPr>
        <w:pStyle w:val="Heading2"/>
      </w:pPr>
      <w:r>
        <w:t>Infrastructure Shifts</w:t>
      </w:r>
    </w:p>
    <w:p>
      <w:pPr>
        <w:spacing w:before="40" w:after="40"/>
        <w:ind w:left="360"/>
      </w:pPr>
      <w:r>
        <w:t>• Card-linking technology maturing (Loyal Solutions, Karta)</w:t>
      </w:r>
    </w:p>
    <w:p>
      <w:pPr>
        <w:spacing w:before="40" w:after="40"/>
        <w:ind w:left="360"/>
      </w:pPr>
      <w:r>
        <w:t>• API-first gift card issuance (Prezzee, Blackhawk Network)</w:t>
      </w:r>
    </w:p>
    <w:p>
      <w:pPr>
        <w:spacing w:before="40" w:after="40"/>
        <w:ind w:left="360"/>
      </w:pPr>
      <w:r>
        <w:t>• AI-powered personalisation scaling (Braze, OfferFit)</w:t>
      </w:r>
    </w:p>
    <w:p>
      <w:pPr>
        <w:spacing w:before="40" w:after="40"/>
        <w:ind w:left="360"/>
      </w:pPr>
      <w:r>
        <w:t>• Single-app consolidation (Reward Gateway Engage)</w:t>
      </w:r>
    </w:p>
    <w:p>
      <w:pPr>
        <w:pStyle w:val="Heading1"/>
      </w:pPr>
      <w:r>
        <w:t>7. Offer Mechanics &amp; Experience Signals</w:t>
      </w:r>
    </w:p>
    <w:p>
      <w:pPr>
        <w:pStyle w:val="Heading2"/>
      </w:pPr>
      <w:r>
        <w:t>UX &amp; Redemption Friction</w:t>
      </w:r>
    </w:p>
    <w:p>
      <w:r>
        <w:t>Key trends in redemption experience: (1) Faster reward availability - MYER one moved from quarterly to 24-hour redemption; (2) Card-linking reduces friction vs. app scanning; (3) Points + Pay options expanding; (4) Digital wallet integration becoming standard.</w:t>
      </w:r>
    </w:p>
    <w:p>
      <w:pPr>
        <w:pStyle w:val="Heading2"/>
      </w:pPr>
      <w:r>
        <w:t>Voucher Mechanics</w:t>
      </w:r>
    </w:p>
    <w:p>
      <w:r>
        <w:t>Gift card market growing at 9.5% CAGR. Key developments: (1) Digital-first delivery replacing physical cards; (2) Corporate bulk purchasing via API; (3) Global acceptance capabilities (PrezzeePay); (4) Curated reward catalogues aligned to values/initiatives (Reward Gateway).</w:t>
      </w:r>
    </w:p>
    <w:p>
      <w:pPr>
        <w:pStyle w:val="Heading2"/>
      </w:pPr>
      <w:r>
        <w:t>Personalisation Moves</w:t>
      </w:r>
    </w:p>
    <w:p>
      <w:r>
        <w:t>AI-driven personalisation is the primary competitive battleground. Foxtel's 3 million+ message variants per customer represents current best practice. Programs investing in real-time decisioning engines (OfferFit, Braze) are achieving measurable engagement lifts.</w:t>
      </w:r>
    </w:p>
    <w:p>
      <w:pPr>
        <w:pStyle w:val="Heading1"/>
      </w:pPr>
      <w:r>
        <w:t>8. Risk &amp; Abuse Watch</w:t>
      </w:r>
    </w:p>
    <w:p>
      <w:pPr>
        <w:pStyle w:val="Heading2"/>
      </w:pPr>
      <w:r>
        <w:t>Data Breach Incidents</w:t>
      </w:r>
    </w:p>
    <w:p>
      <w:r>
        <w:t>Qantas cyber incident (July 2025): 5.7 million unique customers affected. Data compromised included names, email addresses, frequent flyer numbers, addresses, dates of birth, and phone numbers. No credit card, passport, or login details accessed. Qantas stated 'no frequent flyer accounts were compromised' but security experts warn of subsequent targeting risk.</w:t>
      </w:r>
    </w:p>
    <w:p>
      <w:pPr>
        <w:pStyle w:val="Heading2"/>
      </w:pPr>
      <w:r>
        <w:t>Fraud Patterns</w:t>
      </w:r>
    </w:p>
    <w:p>
      <w:r>
        <w:t>Loyalty program fraud vectors include: (1) Account takeover via credential stuffing; (2) Points laundering through fraudulent redemptions; (3) Synthetic identity creation for bonus harvesting; (4) Employee fraud in corporate incentive programs. Blockchain-based solutions (Loyyal) emerging as preventive technology.</w:t>
      </w:r>
    </w:p>
    <w:p>
      <w:pPr>
        <w:pStyle w:val="Heading2"/>
      </w:pPr>
      <w:r>
        <w:t>Trust &amp; Safety Signals</w:t>
      </w:r>
    </w:p>
    <w:p>
      <w:r>
        <w:t>Programs are investing in: (1) Two-factor authentication; (2) Real-time transaction monitoring; (3) Machine learning anomaly detection; (4) Member education on account security. Regulatory pressure on data handling is increasing via Privacy Legislation Amendment.</w:t>
      </w:r>
    </w:p>
    <w:p>
      <w:pPr>
        <w:pStyle w:val="Heading1"/>
      </w:pPr>
      <w:r>
        <w:t>9. Regulatory &amp; Compliance Watch</w:t>
      </w:r>
    </w:p>
    <w:p>
      <w:pPr>
        <w:pStyle w:val="Heading2"/>
      </w:pPr>
      <w:r>
        <w:t>Active Regulations</w:t>
      </w:r>
    </w:p>
    <w:p>
      <w:pPr>
        <w:pStyle w:val="Heading3"/>
      </w:pPr>
      <w:r>
        <w:t>Unfair Trading Practices Legislation</w:t>
      </w:r>
    </w:p>
    <w:p>
      <w:r>
        <w:t>Treasury released draft legislation February 2026. Targets subscription traps (mandatory disclosure, cancellation requirements) and drip-pricing (prominent fee disclosure). If passed, commences 1 July 2027. Loyalty programs with subscription components (Everyday Extra) must prepare for compliance.</w:t>
      </w:r>
    </w:p>
    <w:p>
      <w:pPr>
        <w:pStyle w:val="Heading3"/>
      </w:pPr>
      <w:r>
        <w:t>Supermarket Excessive Pricing Regulations</w:t>
      </w:r>
    </w:p>
    <w:p>
      <w:r>
        <w:t>New regulations ban 'excessive pricing' by major supermarkets (Woolworths, Coles). Effective 1 July 2026. ACCC Chair Gina Cass-Gottlieb has put supermarkets on notice for enforcement action in H2 2026. May impact loyalty program funding if margins compress.</w:t>
      </w:r>
    </w:p>
    <w:p>
      <w:pPr>
        <w:pStyle w:val="Heading3"/>
      </w:pPr>
      <w:r>
        <w:t>Loyalty Program Transparency Requirements</w:t>
      </w:r>
    </w:p>
    <w:p>
      <w:r>
        <w:t>Treasury consulting on requirements for supermarkets to: (1) Publish prices online; (2) Enable web-scraping for comparison sites; (3) Display minimum promotion information; (4) Provide timely loyalty program updates. Draft legislation pending.</w:t>
      </w:r>
    </w:p>
    <w:p>
      <w:pPr>
        <w:pStyle w:val="Heading2"/>
      </w:pPr>
      <w:r>
        <w:t>Compliance Actions Required</w:t>
      </w:r>
    </w:p>
    <w:p>
      <w:pPr>
        <w:spacing w:before="40" w:after="40"/>
        <w:ind w:left="360"/>
      </w:pPr>
      <w:r>
        <w:t>• Review subscription terms for unfair trading practices compliance</w:t>
      </w:r>
    </w:p>
    <w:p>
      <w:pPr>
        <w:spacing w:before="40" w:after="40"/>
        <w:ind w:left="360"/>
      </w:pPr>
      <w:r>
        <w:t>• Audit point expiration policies for transparency</w:t>
      </w:r>
    </w:p>
    <w:p>
      <w:pPr>
        <w:spacing w:before="40" w:after="40"/>
        <w:ind w:left="360"/>
      </w:pPr>
      <w:r>
        <w:t>• Ensure data collection practices align with Privacy Legislation Amendment</w:t>
      </w:r>
    </w:p>
    <w:p>
      <w:pPr>
        <w:spacing w:before="40" w:after="40"/>
        <w:ind w:left="360"/>
      </w:pPr>
      <w:r>
        <w:t>• Monitor greenwashing regulations for sustainability claims</w:t>
      </w:r>
    </w:p>
    <w:p>
      <w:pPr>
        <w:pStyle w:val="Heading1"/>
      </w:pPr>
      <w:r>
        <w:t>10. Watchlist Adjustments</w:t>
      </w:r>
    </w:p>
    <w:p>
      <w:pPr>
        <w:pStyle w:val="Heading2"/>
      </w:pPr>
      <w:r>
        <w:t>Add</w:t>
      </w:r>
    </w:p>
    <w:p>
      <w:pPr>
        <w:spacing w:before="40" w:after="40"/>
        <w:ind w:left="360"/>
      </w:pPr>
      <w:r>
        <w:t>• Loyal Solutions - Card-linking technology provider powering Myer and Velocity</w:t>
      </w:r>
    </w:p>
    <w:p>
      <w:pPr>
        <w:spacing w:before="40" w:after="40"/>
        <w:ind w:left="360"/>
      </w:pPr>
      <w:r>
        <w:t>• Karta - Gift card platform partnered with Commonwealth Bank</w:t>
      </w:r>
    </w:p>
    <w:p>
      <w:pPr>
        <w:pStyle w:val="Heading2"/>
      </w:pPr>
      <w:r>
        <w:t>Elevate</w:t>
      </w:r>
    </w:p>
    <w:p>
      <w:pPr>
        <w:spacing w:before="40" w:after="40"/>
        <w:ind w:left="360"/>
      </w:pPr>
      <w:r>
        <w:t>• MYER one - Significant expansion with card-linking technology</w:t>
      </w:r>
    </w:p>
    <w:p>
      <w:pPr>
        <w:spacing w:before="40" w:after="40"/>
        <w:ind w:left="360"/>
      </w:pPr>
      <w:r>
        <w:t>• Prezzee - PrezzeePay launch positions for global expansion</w:t>
      </w:r>
    </w:p>
    <w:p>
      <w:pPr>
        <w:pStyle w:val="Heading2"/>
      </w:pPr>
      <w:r>
        <w:t>Deprioritize</w:t>
      </w:r>
    </w:p>
    <w:p>
      <w:pPr>
        <w:spacing w:before="40" w:after="40"/>
        <w:ind w:left="360"/>
      </w:pPr>
      <w:r>
        <w:t>• Cashrewards - Ceased operations September 2025</w:t>
      </w:r>
    </w:p>
    <w:p>
      <w:pPr>
        <w:spacing w:before="40" w:after="40"/>
        <w:ind w:left="360"/>
      </w:pPr>
      <w:r>
        <w:t>• Hawaiian Airlines - Velocity partnership ending June 2025</w:t>
      </w:r>
    </w:p>
    <w:p>
      <w:pPr>
        <w:spacing w:before="40" w:after="40"/>
        <w:ind w:left="360"/>
      </w:pPr>
      <w:r>
        <w:t>• Etihad Airways - Velocity partnership ended June 2025</w:t>
      </w:r>
    </w:p>
    <w:p>
      <w:pPr>
        <w:pStyle w:val="Heading1"/>
      </w:pPr>
      <w:r>
        <w:t>11. Source Gaps &amp; Intelligence Upgrades</w:t>
      </w:r>
    </w:p>
    <w:p>
      <w:pPr>
        <w:pStyle w:val="Heading2"/>
      </w:pPr>
      <w:r>
        <w:t>Visible This Cycle</w:t>
      </w:r>
    </w:p>
    <w:p>
      <w:r>
        <w:t>Public sources provided strong coverage of: (1) Major program announcements (Qantas, Myer, Velocity); (2) Regulatory developments (Treasury consultations, ACCC guidance); (3) Market sizing (gift card reports, loyalty association data); (4) Competitive moves (Cashrewards closure, ShopBack changes).</w:t>
      </w:r>
    </w:p>
    <w:p>
      <w:pPr>
        <w:pStyle w:val="Heading2"/>
      </w:pPr>
      <w:r>
        <w:t>Paid Source Gaps</w:t>
      </w:r>
    </w:p>
    <w:p>
      <w:r>
        <w:t>The following would improve with paid access: (1) IBISWorld loyalty program revenue data; (2) Euromonitor consumer loyalty insights; (3) Similarweb digital engagement metrics; (4) App Annie app performance data; (5) Nielsen consumer panel data on program engagement.</w:t>
      </w:r>
    </w:p>
    <w:p>
      <w:pPr>
        <w:pStyle w:val="Heading2"/>
      </w:pPr>
      <w:r>
        <w:t>Next Cycle Monitoring</w:t>
      </w:r>
    </w:p>
    <w:p>
      <w:pPr>
        <w:spacing w:before="40" w:after="40"/>
        <w:ind w:left="360"/>
      </w:pPr>
      <w:r>
        <w:t>• Qantas partner announcements for 'on-the-ground' Status Credits</w:t>
      </w:r>
    </w:p>
    <w:p>
      <w:pPr>
        <w:spacing w:before="40" w:after="40"/>
        <w:ind w:left="360"/>
      </w:pPr>
      <w:r>
        <w:t>• ACCC enforcement actions on supermarket pricing</w:t>
      </w:r>
    </w:p>
    <w:p>
      <w:pPr>
        <w:spacing w:before="40" w:after="40"/>
        <w:ind w:left="360"/>
      </w:pPr>
      <w:r>
        <w:t>• PrezzeePay consumer launch uptake</w:t>
      </w:r>
    </w:p>
    <w:p>
      <w:pPr>
        <w:spacing w:before="40" w:after="40"/>
        <w:ind w:left="360"/>
      </w:pPr>
      <w:r>
        <w:t>• Air New Zealand Koru program performance</w:t>
      </w:r>
    </w:p>
    <w:p>
      <w:pPr>
        <w:spacing w:before="40" w:after="40"/>
        <w:ind w:left="360"/>
      </w:pPr>
      <w:r>
        <w:t>• Treasury legislation progress</w:t>
      </w:r>
    </w:p>
    <w:p>
      <w:pPr>
        <w:pStyle w:val="Heading1"/>
      </w:pPr>
      <w:r>
        <w:t>12. Appendix</w:t>
      </w:r>
    </w:p>
    <w:p>
      <w:pPr>
        <w:pStyle w:val="Heading2"/>
      </w:pPr>
      <w:r>
        <w:t>Source List</w:t>
      </w:r>
    </w:p>
    <w:tbl>
      <w:tblPr>
        <w:tblW w:w="5000" w:type="pct"/>
        <w:tblBorders>
          <w:top w:val="single" w:color="1a365d" w:sz="8"/>
          <w:left w:val="nil"/>
          <w:bottom w:val="single" w:color="1a365d" w:sz="8"/>
          <w:right w:val="nil"/>
          <w:insideH w:val="single" w:color="e2e8f0" w:sz="4"/>
          <w:insideV w:val="nil"/>
        </w:tblBorders>
        <w:tblCellMar>
          <w:top w:w="80" w:type="dxa"/>
          <w:left w:w="120" w:type="dxa"/>
          <w:bottom w:w="80" w:type="dxa"/>
          <w:right w:w="120" w:type="dxa"/>
        </w:tblCellMar>
      </w:tblPr>
      <w:tblGrid>
        <w:gridCol w:w="4500"/>
        <w:gridCol w:w="4000"/>
      </w:tblGrid>
      <w:tr>
        <w:trPr>
          <w:tblHeader/>
        </w:trPr>
        <w:tc>
          <w:tcPr>
            <w:shd w:val="clear" w:fill="edf2f7"/>
            <w:vAlign w:val="center"/>
          </w:tcPr>
          <w:p>
            <w:pPr>
              <w:spacing w:before="0" w:after="0"/>
            </w:pPr>
            <w:r>
              <w:rPr>
                <w:b/>
                <w:color w:val="1a202c"/>
                <w:sz w:val="20"/>
              </w:rPr>
              <w:t>Source</w:t>
            </w:r>
          </w:p>
        </w:tc>
        <w:tc>
          <w:tcPr>
            <w:shd w:val="clear" w:fill="edf2f7"/>
            <w:vAlign w:val="center"/>
          </w:tcPr>
          <w:p>
            <w:pPr>
              <w:spacing w:before="0" w:after="0"/>
            </w:pPr>
            <w:r>
              <w:rPr>
                <w:b/>
                <w:color w:val="1a202c"/>
                <w:sz w:val="20"/>
              </w:rPr>
              <w:t>URL</w:t>
            </w:r>
          </w:p>
        </w:tc>
      </w:tr>
      <w:tr>
        <w:tc>
          <w:tcPr>
            <w:vAlign w:val="center"/>
          </w:tcPr>
          <w:p>
            <w:pPr>
              <w:spacing w:before="0" w:after="0"/>
            </w:pPr>
            <w:r>
              <w:rPr>
                <w:color w:val="1a202c"/>
                <w:sz w:val="20"/>
              </w:rPr>
              <w:t>Qantas Program Changes</w:t>
            </w:r>
          </w:p>
        </w:tc>
        <w:tc>
          <w:tcPr>
            <w:vAlign w:val="center"/>
          </w:tcPr>
          <w:p>
            <w:pPr>
              <w:spacing w:before="0" w:after="0"/>
            </w:pPr>
            <w:r>
              <w:rPr>
                <w:color w:val="1a202c"/>
                <w:sz w:val="20"/>
              </w:rPr>
              <w:t>qantas.com/us/en/frequent-flyer/program-changes.html</w:t>
            </w:r>
          </w:p>
        </w:tc>
      </w:tr>
      <w:tr>
        <w:tc>
          <w:tcPr>
            <w:vAlign w:val="center"/>
          </w:tcPr>
          <w:p>
            <w:pPr>
              <w:spacing w:before="0" w:after="0"/>
            </w:pPr>
            <w:r>
              <w:rPr>
                <w:color w:val="1a202c"/>
                <w:sz w:val="20"/>
              </w:rPr>
              <w:t>Velocity Bonus Status Credits</w:t>
            </w:r>
          </w:p>
        </w:tc>
        <w:tc>
          <w:tcPr>
            <w:vAlign w:val="center"/>
          </w:tcPr>
          <w:p>
            <w:pPr>
              <w:spacing w:before="0" w:after="0"/>
            </w:pPr>
            <w:r>
              <w:rPr>
                <w:color w:val="1a202c"/>
                <w:sz w:val="20"/>
              </w:rPr>
              <w:t>virginaustralia.com/au/en/newsroom/2026/2/velocity-frequent-flyer-surprises-members</w:t>
            </w:r>
          </w:p>
        </w:tc>
      </w:tr>
      <w:tr>
        <w:tc>
          <w:tcPr>
            <w:vAlign w:val="center"/>
          </w:tcPr>
          <w:p>
            <w:pPr>
              <w:spacing w:before="0" w:after="0"/>
            </w:pPr>
            <w:r>
              <w:rPr>
                <w:color w:val="1a202c"/>
                <w:sz w:val="20"/>
              </w:rPr>
              <w:t>Myer One Expansion</w:t>
            </w:r>
          </w:p>
        </w:tc>
        <w:tc>
          <w:tcPr>
            <w:vAlign w:val="center"/>
          </w:tcPr>
          <w:p>
            <w:pPr>
              <w:spacing w:before="0" w:after="0"/>
            </w:pPr>
            <w:r>
              <w:rPr>
                <w:color w:val="1a202c"/>
                <w:sz w:val="20"/>
              </w:rPr>
              <w:t>investor.myer.com.au - Media Releases</w:t>
            </w:r>
          </w:p>
        </w:tc>
      </w:tr>
      <w:tr>
        <w:tc>
          <w:tcPr>
            <w:vAlign w:val="center"/>
          </w:tcPr>
          <w:p>
            <w:pPr>
              <w:spacing w:before="0" w:after="0"/>
            </w:pPr>
            <w:r>
              <w:rPr>
                <w:color w:val="1a202c"/>
                <w:sz w:val="20"/>
              </w:rPr>
              <w:t>Everyday Extra Changes</w:t>
            </w:r>
          </w:p>
        </w:tc>
        <w:tc>
          <w:tcPr>
            <w:vAlign w:val="center"/>
          </w:tcPr>
          <w:p>
            <w:pPr>
              <w:spacing w:before="0" w:after="0"/>
            </w:pPr>
            <w:r>
              <w:rPr>
                <w:color w:val="1a202c"/>
                <w:sz w:val="20"/>
              </w:rPr>
              <w:t>everyday.com.au/extra/updates.html</w:t>
            </w:r>
          </w:p>
        </w:tc>
      </w:tr>
      <w:tr>
        <w:tc>
          <w:tcPr>
            <w:vAlign w:val="center"/>
          </w:tcPr>
          <w:p>
            <w:pPr>
              <w:spacing w:before="0" w:after="0"/>
            </w:pPr>
            <w:r>
              <w:rPr>
                <w:color w:val="1a202c"/>
                <w:sz w:val="20"/>
              </w:rPr>
              <w:t>ShopBack Pay Closure</w:t>
            </w:r>
          </w:p>
        </w:tc>
        <w:tc>
          <w:tcPr>
            <w:vAlign w:val="center"/>
          </w:tcPr>
          <w:p>
            <w:pPr>
              <w:spacing w:before="0" w:after="0"/>
            </w:pPr>
            <w:r>
              <w:rPr>
                <w:color w:val="1a202c"/>
                <w:sz w:val="20"/>
              </w:rPr>
              <w:t>support.shopback.com.au</w:t>
            </w:r>
          </w:p>
        </w:tc>
      </w:tr>
      <w:tr>
        <w:tc>
          <w:tcPr>
            <w:vAlign w:val="center"/>
          </w:tcPr>
          <w:p>
            <w:pPr>
              <w:spacing w:before="0" w:after="0"/>
            </w:pPr>
            <w:r>
              <w:rPr>
                <w:color w:val="1a202c"/>
                <w:sz w:val="20"/>
              </w:rPr>
              <w:t>Cashrewards Closure</w:t>
            </w:r>
          </w:p>
        </w:tc>
        <w:tc>
          <w:tcPr>
            <w:vAlign w:val="center"/>
          </w:tcPr>
          <w:p>
            <w:pPr>
              <w:spacing w:before="0" w:after="0"/>
            </w:pPr>
            <w:r>
              <w:rPr>
                <w:color w:val="1a202c"/>
                <w:sz w:val="20"/>
              </w:rPr>
              <w:t>hellopartner.com - Affiliate Industry Reflections</w:t>
            </w:r>
          </w:p>
        </w:tc>
      </w:tr>
      <w:tr>
        <w:tc>
          <w:tcPr>
            <w:vAlign w:val="center"/>
          </w:tcPr>
          <w:p>
            <w:pPr>
              <w:spacing w:before="0" w:after="0"/>
            </w:pPr>
            <w:r>
              <w:rPr>
                <w:color w:val="1a202c"/>
                <w:sz w:val="20"/>
              </w:rPr>
              <w:t>PrezzeePay Launch</w:t>
            </w:r>
          </w:p>
        </w:tc>
        <w:tc>
          <w:tcPr>
            <w:vAlign w:val="center"/>
          </w:tcPr>
          <w:p>
            <w:pPr>
              <w:spacing w:before="0" w:after="0"/>
            </w:pPr>
            <w:r>
              <w:rPr>
                <w:color w:val="1a202c"/>
                <w:sz w:val="20"/>
              </w:rPr>
              <w:t>cfotech.com.au - PrezzeePay announcement</w:t>
            </w:r>
          </w:p>
        </w:tc>
      </w:tr>
      <w:tr>
        <w:tc>
          <w:tcPr>
            <w:vAlign w:val="center"/>
          </w:tcPr>
          <w:p>
            <w:pPr>
              <w:spacing w:before="0" w:after="0"/>
            </w:pPr>
            <w:r>
              <w:rPr>
                <w:color w:val="1a202c"/>
                <w:sz w:val="20"/>
              </w:rPr>
              <w:t>Australia Gift Card Market</w:t>
            </w:r>
          </w:p>
        </w:tc>
        <w:tc>
          <w:tcPr>
            <w:vAlign w:val="center"/>
          </w:tcPr>
          <w:p>
            <w:pPr>
              <w:spacing w:before="0" w:after="0"/>
            </w:pPr>
            <w:r>
              <w:rPr>
                <w:color w:val="1a202c"/>
                <w:sz w:val="20"/>
              </w:rPr>
              <w:t>mordorintelligence.com - Gift Card Report</w:t>
            </w:r>
          </w:p>
        </w:tc>
      </w:tr>
      <w:tr>
        <w:tc>
          <w:tcPr>
            <w:vAlign w:val="center"/>
          </w:tcPr>
          <w:p>
            <w:pPr>
              <w:spacing w:before="0" w:after="0"/>
            </w:pPr>
            <w:r>
              <w:rPr>
                <w:color w:val="1a202c"/>
                <w:sz w:val="20"/>
              </w:rPr>
              <w:t>ALA Market Report</w:t>
            </w:r>
          </w:p>
        </w:tc>
        <w:tc>
          <w:tcPr>
            <w:vAlign w:val="center"/>
          </w:tcPr>
          <w:p>
            <w:pPr>
              <w:spacing w:before="0" w:after="0"/>
            </w:pPr>
            <w:r>
              <w:rPr>
                <w:color w:val="1a202c"/>
                <w:sz w:val="20"/>
              </w:rPr>
              <w:t>australianloyaltyassociation.com</w:t>
            </w:r>
          </w:p>
        </w:tc>
      </w:tr>
      <w:tr>
        <w:tc>
          <w:tcPr>
            <w:vAlign w:val="center"/>
          </w:tcPr>
          <w:p>
            <w:pPr>
              <w:spacing w:before="0" w:after="0"/>
            </w:pPr>
            <w:r>
              <w:rPr>
                <w:color w:val="1a202c"/>
                <w:sz w:val="20"/>
              </w:rPr>
              <w:t>KPMG Retail Outlook</w:t>
            </w:r>
          </w:p>
        </w:tc>
        <w:tc>
          <w:tcPr>
            <w:vAlign w:val="center"/>
          </w:tcPr>
          <w:p>
            <w:pPr>
              <w:spacing w:before="0" w:after="0"/>
            </w:pPr>
            <w:r>
              <w:rPr>
                <w:color w:val="1a202c"/>
                <w:sz w:val="20"/>
              </w:rPr>
              <w:t>assets.kpmg.com - Australian Retail Outlook 2026</w:t>
            </w:r>
          </w:p>
        </w:tc>
      </w:tr>
      <w:tr>
        <w:tc>
          <w:tcPr>
            <w:vAlign w:val="center"/>
          </w:tcPr>
          <w:p>
            <w:pPr>
              <w:spacing w:before="0" w:after="0"/>
            </w:pPr>
            <w:r>
              <w:rPr>
                <w:color w:val="1a202c"/>
                <w:sz w:val="20"/>
              </w:rPr>
              <w:t>GT Law Competition Insights</w:t>
            </w:r>
          </w:p>
        </w:tc>
        <w:tc>
          <w:tcPr>
            <w:vAlign w:val="center"/>
          </w:tcPr>
          <w:p>
            <w:pPr>
              <w:spacing w:before="0" w:after="0"/>
            </w:pPr>
            <w:r>
              <w:rPr>
                <w:color w:val="1a202c"/>
                <w:sz w:val="20"/>
              </w:rPr>
              <w:t>gtlaw.com.au - Competition and Consumer Insights 2026</w:t>
            </w:r>
          </w:p>
        </w:tc>
      </w:tr>
      <w:tr>
        <w:tc>
          <w:tcPr>
            <w:vAlign w:val="center"/>
          </w:tcPr>
          <w:p>
            <w:pPr>
              <w:spacing w:before="0" w:after="0"/>
            </w:pPr>
            <w:r>
              <w:rPr>
                <w:color w:val="1a202c"/>
                <w:sz w:val="20"/>
              </w:rPr>
              <w:t>Qantas Cyber Incident</w:t>
            </w:r>
          </w:p>
        </w:tc>
        <w:tc>
          <w:tcPr>
            <w:vAlign w:val="center"/>
          </w:tcPr>
          <w:p>
            <w:pPr>
              <w:spacing w:before="0" w:after="0"/>
            </w:pPr>
            <w:r>
              <w:rPr>
                <w:color w:val="1a202c"/>
                <w:sz w:val="20"/>
              </w:rPr>
              <w:t>qantasnewsroom.com.au - July 2025 Update</w:t>
            </w:r>
          </w:p>
        </w:tc>
      </w:tr>
    </w:tbl>
    <w:p>
      <w:pPr>
        <w:pStyle w:val="Heading2"/>
      </w:pPr>
      <w:r>
        <w:t>Entity List with Categorisation</w:t>
      </w:r>
    </w:p>
    <w:tbl>
      <w:tblPr>
        <w:tblW w:w="5000" w:type="pct"/>
        <w:tblBorders>
          <w:top w:val="single" w:color="1a365d" w:sz="8"/>
          <w:left w:val="nil"/>
          <w:bottom w:val="single" w:color="1a365d" w:sz="8"/>
          <w:right w:val="nil"/>
          <w:insideH w:val="single" w:color="e2e8f0" w:sz="4"/>
          <w:insideV w:val="nil"/>
        </w:tblBorders>
        <w:tblCellMar>
          <w:top w:w="80" w:type="dxa"/>
          <w:left w:w="120" w:type="dxa"/>
          <w:bottom w:w="80" w:type="dxa"/>
          <w:right w:w="120" w:type="dxa"/>
        </w:tblCellMar>
      </w:tblPr>
      <w:tblGrid>
        <w:gridCol w:w="3000"/>
        <w:gridCol w:w="3000"/>
        <w:gridCol w:w="2500"/>
      </w:tblGrid>
      <w:tr>
        <w:trPr>
          <w:tblHeader/>
        </w:trPr>
        <w:tc>
          <w:tcPr>
            <w:shd w:val="clear" w:fill="edf2f7"/>
            <w:vAlign w:val="center"/>
          </w:tcPr>
          <w:p>
            <w:pPr>
              <w:spacing w:before="0" w:after="0"/>
            </w:pPr>
            <w:r>
              <w:rPr>
                <w:b/>
                <w:color w:val="1a202c"/>
                <w:sz w:val="20"/>
              </w:rPr>
              <w:t>Entity</w:t>
            </w:r>
          </w:p>
        </w:tc>
        <w:tc>
          <w:tcPr>
            <w:shd w:val="clear" w:fill="edf2f7"/>
            <w:vAlign w:val="center"/>
          </w:tcPr>
          <w:p>
            <w:pPr>
              <w:spacing w:before="0" w:after="0"/>
            </w:pPr>
            <w:r>
              <w:rPr>
                <w:b/>
                <w:color w:val="1a202c"/>
                <w:sz w:val="20"/>
              </w:rPr>
              <w:t>Category</w:t>
            </w:r>
          </w:p>
        </w:tc>
        <w:tc>
          <w:tcPr>
            <w:shd w:val="clear" w:fill="edf2f7"/>
            <w:vAlign w:val="center"/>
          </w:tcPr>
          <w:p>
            <w:pPr>
              <w:spacing w:before="0" w:after="0"/>
            </w:pPr>
            <w:r>
              <w:rPr>
                <w:b/>
                <w:color w:val="1a202c"/>
                <w:sz w:val="20"/>
              </w:rPr>
              <w:t>Market</w:t>
            </w:r>
          </w:p>
        </w:tc>
      </w:tr>
      <w:tr>
        <w:tc>
          <w:tcPr>
            <w:vAlign w:val="center"/>
          </w:tcPr>
          <w:p>
            <w:pPr>
              <w:spacing w:before="0" w:after="0"/>
            </w:pPr>
            <w:r>
              <w:rPr>
                <w:color w:val="1a202c"/>
                <w:sz w:val="20"/>
              </w:rPr>
              <w:t>Woolworths Everyday Rewards</w:t>
            </w:r>
          </w:p>
        </w:tc>
        <w:tc>
          <w:tcPr>
            <w:vAlign w:val="center"/>
          </w:tcPr>
          <w:p>
            <w:pPr>
              <w:spacing w:before="0" w:after="0"/>
            </w:pPr>
            <w:r>
              <w:rPr>
                <w:color w:val="1a202c"/>
                <w:sz w:val="20"/>
              </w:rPr>
              <w:t>Competitor / Loyalty Operator</w:t>
            </w:r>
          </w:p>
        </w:tc>
        <w:tc>
          <w:tcPr>
            <w:vAlign w:val="center"/>
          </w:tcPr>
          <w:p>
            <w:pPr>
              <w:spacing w:before="0" w:after="0"/>
            </w:pPr>
            <w:r>
              <w:rPr>
                <w:color w:val="1a202c"/>
                <w:sz w:val="20"/>
              </w:rPr>
              <w:t>AU/NZ</w:t>
            </w:r>
          </w:p>
        </w:tc>
      </w:tr>
      <w:tr>
        <w:tc>
          <w:tcPr>
            <w:vAlign w:val="center"/>
          </w:tcPr>
          <w:p>
            <w:pPr>
              <w:spacing w:before="0" w:after="0"/>
            </w:pPr>
            <w:r>
              <w:rPr>
                <w:color w:val="1a202c"/>
                <w:sz w:val="20"/>
              </w:rPr>
              <w:t>Coles Flybuys</w:t>
            </w:r>
          </w:p>
        </w:tc>
        <w:tc>
          <w:tcPr>
            <w:vAlign w:val="center"/>
          </w:tcPr>
          <w:p>
            <w:pPr>
              <w:spacing w:before="0" w:after="0"/>
            </w:pPr>
            <w:r>
              <w:rPr>
                <w:color w:val="1a202c"/>
                <w:sz w:val="20"/>
              </w:rPr>
              <w:t>Competitor / Loyalty Operator</w:t>
            </w:r>
          </w:p>
        </w:tc>
        <w:tc>
          <w:tcPr>
            <w:vAlign w:val="center"/>
          </w:tcPr>
          <w:p>
            <w:pPr>
              <w:spacing w:before="0" w:after="0"/>
            </w:pPr>
            <w:r>
              <w:rPr>
                <w:color w:val="1a202c"/>
                <w:sz w:val="20"/>
              </w:rPr>
              <w:t>AU</w:t>
            </w:r>
          </w:p>
        </w:tc>
      </w:tr>
      <w:tr>
        <w:tc>
          <w:tcPr>
            <w:vAlign w:val="center"/>
          </w:tcPr>
          <w:p>
            <w:pPr>
              <w:spacing w:before="0" w:after="0"/>
            </w:pPr>
            <w:r>
              <w:rPr>
                <w:color w:val="1a202c"/>
                <w:sz w:val="20"/>
              </w:rPr>
              <w:t>MYER one</w:t>
            </w:r>
          </w:p>
        </w:tc>
        <w:tc>
          <w:tcPr>
            <w:vAlign w:val="center"/>
          </w:tcPr>
          <w:p>
            <w:pPr>
              <w:spacing w:before="0" w:after="0"/>
            </w:pPr>
            <w:r>
              <w:rPr>
                <w:color w:val="1a202c"/>
                <w:sz w:val="20"/>
              </w:rPr>
              <w:t>Competitor / Loyalty Operator</w:t>
            </w:r>
          </w:p>
        </w:tc>
        <w:tc>
          <w:tcPr>
            <w:vAlign w:val="center"/>
          </w:tcPr>
          <w:p>
            <w:pPr>
              <w:spacing w:before="0" w:after="0"/>
            </w:pPr>
            <w:r>
              <w:rPr>
                <w:color w:val="1a202c"/>
                <w:sz w:val="20"/>
              </w:rPr>
              <w:t>AU</w:t>
            </w:r>
          </w:p>
        </w:tc>
      </w:tr>
      <w:tr>
        <w:tc>
          <w:tcPr>
            <w:vAlign w:val="center"/>
          </w:tcPr>
          <w:p>
            <w:pPr>
              <w:spacing w:before="0" w:after="0"/>
            </w:pPr>
            <w:r>
              <w:rPr>
                <w:color w:val="1a202c"/>
                <w:sz w:val="20"/>
              </w:rPr>
              <w:t>Air New Zealand Airpoints</w:t>
            </w:r>
          </w:p>
        </w:tc>
        <w:tc>
          <w:tcPr>
            <w:vAlign w:val="center"/>
          </w:tcPr>
          <w:p>
            <w:pPr>
              <w:spacing w:before="0" w:after="0"/>
            </w:pPr>
            <w:r>
              <w:rPr>
                <w:color w:val="1a202c"/>
                <w:sz w:val="20"/>
              </w:rPr>
              <w:t>Competitor / Loyalty Operator</w:t>
            </w:r>
          </w:p>
        </w:tc>
        <w:tc>
          <w:tcPr>
            <w:vAlign w:val="center"/>
          </w:tcPr>
          <w:p>
            <w:pPr>
              <w:spacing w:before="0" w:after="0"/>
            </w:pPr>
            <w:r>
              <w:rPr>
                <w:color w:val="1a202c"/>
                <w:sz w:val="20"/>
              </w:rPr>
              <w:t>NZ</w:t>
            </w:r>
          </w:p>
        </w:tc>
      </w:tr>
      <w:tr>
        <w:tc>
          <w:tcPr>
            <w:vAlign w:val="center"/>
          </w:tcPr>
          <w:p>
            <w:pPr>
              <w:spacing w:before="0" w:after="0"/>
            </w:pPr>
            <w:r>
              <w:rPr>
                <w:color w:val="1a202c"/>
                <w:sz w:val="20"/>
              </w:rPr>
              <w:t>ShopBack</w:t>
            </w:r>
          </w:p>
        </w:tc>
        <w:tc>
          <w:tcPr>
            <w:vAlign w:val="center"/>
          </w:tcPr>
          <w:p>
            <w:pPr>
              <w:spacing w:before="0" w:after="0"/>
            </w:pPr>
            <w:r>
              <w:rPr>
                <w:color w:val="1a202c"/>
                <w:sz w:val="20"/>
              </w:rPr>
              <w:t>Cashback Platform</w:t>
            </w:r>
          </w:p>
        </w:tc>
        <w:tc>
          <w:tcPr>
            <w:vAlign w:val="center"/>
          </w:tcPr>
          <w:p>
            <w:pPr>
              <w:spacing w:before="0" w:after="0"/>
            </w:pPr>
            <w:r>
              <w:rPr>
                <w:color w:val="1a202c"/>
                <w:sz w:val="20"/>
              </w:rPr>
              <w:t>AU</w:t>
            </w:r>
          </w:p>
        </w:tc>
      </w:tr>
      <w:tr>
        <w:tc>
          <w:tcPr>
            <w:vAlign w:val="center"/>
          </w:tcPr>
          <w:p>
            <w:pPr>
              <w:spacing w:before="0" w:after="0"/>
            </w:pPr>
            <w:r>
              <w:rPr>
                <w:color w:val="1a202c"/>
                <w:sz w:val="20"/>
              </w:rPr>
              <w:t>Qantas Frequent Flyer</w:t>
            </w:r>
          </w:p>
        </w:tc>
        <w:tc>
          <w:tcPr>
            <w:vAlign w:val="center"/>
          </w:tcPr>
          <w:p>
            <w:pPr>
              <w:spacing w:before="0" w:after="0"/>
            </w:pPr>
            <w:r>
              <w:rPr>
                <w:color w:val="1a202c"/>
                <w:sz w:val="20"/>
              </w:rPr>
              <w:t>Competitor / Loyalty Operator</w:t>
            </w:r>
          </w:p>
        </w:tc>
        <w:tc>
          <w:tcPr>
            <w:vAlign w:val="center"/>
          </w:tcPr>
          <w:p>
            <w:pPr>
              <w:spacing w:before="0" w:after="0"/>
            </w:pPr>
            <w:r>
              <w:rPr>
                <w:color w:val="1a202c"/>
                <w:sz w:val="20"/>
              </w:rPr>
              <w:t>AU</w:t>
            </w:r>
          </w:p>
        </w:tc>
      </w:tr>
      <w:tr>
        <w:tc>
          <w:tcPr>
            <w:vAlign w:val="center"/>
          </w:tcPr>
          <w:p>
            <w:pPr>
              <w:spacing w:before="0" w:after="0"/>
            </w:pPr>
            <w:r>
              <w:rPr>
                <w:color w:val="1a202c"/>
                <w:sz w:val="20"/>
              </w:rPr>
              <w:t>Velocity Frequent Flyer</w:t>
            </w:r>
          </w:p>
        </w:tc>
        <w:tc>
          <w:tcPr>
            <w:vAlign w:val="center"/>
          </w:tcPr>
          <w:p>
            <w:pPr>
              <w:spacing w:before="0" w:after="0"/>
            </w:pPr>
            <w:r>
              <w:rPr>
                <w:color w:val="1a202c"/>
                <w:sz w:val="20"/>
              </w:rPr>
              <w:t>Competitor / Loyalty Operator</w:t>
            </w:r>
          </w:p>
        </w:tc>
        <w:tc>
          <w:tcPr>
            <w:vAlign w:val="center"/>
          </w:tcPr>
          <w:p>
            <w:pPr>
              <w:spacing w:before="0" w:after="0"/>
            </w:pPr>
            <w:r>
              <w:rPr>
                <w:color w:val="1a202c"/>
                <w:sz w:val="20"/>
              </w:rPr>
              <w:t>AU</w:t>
            </w:r>
          </w:p>
        </w:tc>
      </w:tr>
      <w:tr>
        <w:tc>
          <w:tcPr>
            <w:vAlign w:val="center"/>
          </w:tcPr>
          <w:p>
            <w:pPr>
              <w:spacing w:before="0" w:after="0"/>
            </w:pPr>
            <w:r>
              <w:rPr>
                <w:color w:val="1a202c"/>
                <w:sz w:val="20"/>
              </w:rPr>
              <w:t>Prezzee</w:t>
            </w:r>
          </w:p>
        </w:tc>
        <w:tc>
          <w:tcPr>
            <w:vAlign w:val="center"/>
          </w:tcPr>
          <w:p>
            <w:pPr>
              <w:spacing w:before="0" w:after="0"/>
            </w:pPr>
            <w:r>
              <w:rPr>
                <w:color w:val="1a202c"/>
                <w:sz w:val="20"/>
              </w:rPr>
              <w:t>Gift Card Infrastructure</w:t>
            </w:r>
          </w:p>
        </w:tc>
        <w:tc>
          <w:tcPr>
            <w:vAlign w:val="center"/>
          </w:tcPr>
          <w:p>
            <w:pPr>
              <w:spacing w:before="0" w:after="0"/>
            </w:pPr>
            <w:r>
              <w:rPr>
                <w:color w:val="1a202c"/>
                <w:sz w:val="20"/>
              </w:rPr>
              <w:t>AU/Global</w:t>
            </w:r>
          </w:p>
        </w:tc>
      </w:tr>
      <w:tr>
        <w:tc>
          <w:tcPr>
            <w:vAlign w:val="center"/>
          </w:tcPr>
          <w:p>
            <w:pPr>
              <w:spacing w:before="0" w:after="0"/>
            </w:pPr>
            <w:r>
              <w:rPr>
                <w:color w:val="1a202c"/>
                <w:sz w:val="20"/>
              </w:rPr>
              <w:t>Reward Gateway</w:t>
            </w:r>
          </w:p>
        </w:tc>
        <w:tc>
          <w:tcPr>
            <w:vAlign w:val="center"/>
          </w:tcPr>
          <w:p>
            <w:pPr>
              <w:spacing w:before="0" w:after="0"/>
            </w:pPr>
            <w:r>
              <w:rPr>
                <w:color w:val="1a202c"/>
                <w:sz w:val="20"/>
              </w:rPr>
              <w:t>Employee Incentives</w:t>
            </w:r>
          </w:p>
        </w:tc>
        <w:tc>
          <w:tcPr>
            <w:vAlign w:val="center"/>
          </w:tcPr>
          <w:p>
            <w:pPr>
              <w:spacing w:before="0" w:after="0"/>
            </w:pPr>
            <w:r>
              <w:rPr>
                <w:color w:val="1a202c"/>
                <w:sz w:val="20"/>
              </w:rPr>
              <w:t>AU/NZ</w:t>
            </w:r>
          </w:p>
        </w:tc>
      </w:tr>
      <w:tr>
        <w:tc>
          <w:tcPr>
            <w:vAlign w:val="center"/>
          </w:tcPr>
          <w:p>
            <w:pPr>
              <w:spacing w:before="0" w:after="0"/>
            </w:pPr>
            <w:r>
              <w:rPr>
                <w:color w:val="1a202c"/>
                <w:sz w:val="20"/>
              </w:rPr>
              <w:t>LoyaltyLion</w:t>
            </w:r>
          </w:p>
        </w:tc>
        <w:tc>
          <w:tcPr>
            <w:vAlign w:val="center"/>
          </w:tcPr>
          <w:p>
            <w:pPr>
              <w:spacing w:before="0" w:after="0"/>
            </w:pPr>
            <w:r>
              <w:rPr>
                <w:color w:val="1a202c"/>
                <w:sz w:val="20"/>
              </w:rPr>
              <w:t>Loyalty Platform</w:t>
            </w:r>
          </w:p>
        </w:tc>
        <w:tc>
          <w:tcPr>
            <w:vAlign w:val="center"/>
          </w:tcPr>
          <w:p>
            <w:pPr>
              <w:spacing w:before="0" w:after="0"/>
            </w:pPr>
            <w:r>
              <w:rPr>
                <w:color w:val="1a202c"/>
                <w:sz w:val="20"/>
              </w:rPr>
              <w:t>Global</w:t>
            </w:r>
          </w:p>
        </w:tc>
      </w:tr>
      <w:tr>
        <w:tc>
          <w:tcPr>
            <w:vAlign w:val="center"/>
          </w:tcPr>
          <w:p>
            <w:pPr>
              <w:spacing w:before="0" w:after="0"/>
            </w:pPr>
            <w:r>
              <w:rPr>
                <w:color w:val="1a202c"/>
                <w:sz w:val="20"/>
              </w:rPr>
              <w:t>American Express AU/NZ</w:t>
            </w:r>
          </w:p>
        </w:tc>
        <w:tc>
          <w:tcPr>
            <w:vAlign w:val="center"/>
          </w:tcPr>
          <w:p>
            <w:pPr>
              <w:spacing w:before="0" w:after="0"/>
            </w:pPr>
            <w:r>
              <w:rPr>
                <w:color w:val="1a202c"/>
                <w:sz w:val="20"/>
              </w:rPr>
              <w:t>Card Loyalty</w:t>
            </w:r>
          </w:p>
        </w:tc>
        <w:tc>
          <w:tcPr>
            <w:vAlign w:val="center"/>
          </w:tcPr>
          <w:p>
            <w:pPr>
              <w:spacing w:before="0" w:after="0"/>
            </w:pPr>
            <w:r>
              <w:rPr>
                <w:color w:val="1a202c"/>
                <w:sz w:val="20"/>
              </w:rPr>
              <w:t>AU/NZ</w:t>
            </w:r>
          </w:p>
        </w:tc>
      </w:tr>
      <w:tr>
        <w:tc>
          <w:tcPr>
            <w:vAlign w:val="center"/>
          </w:tcPr>
          <w:p>
            <w:pPr>
              <w:spacing w:before="0" w:after="0"/>
            </w:pPr>
            <w:r>
              <w:rPr>
                <w:color w:val="1a202c"/>
                <w:sz w:val="20"/>
              </w:rPr>
              <w:t>Commonwealth Bank</w:t>
            </w:r>
          </w:p>
        </w:tc>
        <w:tc>
          <w:tcPr>
            <w:vAlign w:val="center"/>
          </w:tcPr>
          <w:p>
            <w:pPr>
              <w:spacing w:before="0" w:after="0"/>
            </w:pPr>
            <w:r>
              <w:rPr>
                <w:color w:val="1a202c"/>
                <w:sz w:val="20"/>
              </w:rPr>
              <w:t>Bank Loyalty</w:t>
            </w:r>
          </w:p>
        </w:tc>
        <w:tc>
          <w:tcPr>
            <w:vAlign w:val="center"/>
          </w:tcPr>
          <w:p>
            <w:pPr>
              <w:spacing w:before="0" w:after="0"/>
            </w:pPr>
            <w:r>
              <w:rPr>
                <w:color w:val="1a202c"/>
                <w:sz w:val="20"/>
              </w:rPr>
              <w:t>AU</w:t>
            </w:r>
          </w:p>
        </w:tc>
      </w:tr>
    </w:tbl>
    <w:p>
      <w:pPr>
        <w:pStyle w:val="Heading2"/>
      </w:pPr>
      <w:r>
        <w:t>Scoring Methodology Notes</w:t>
      </w:r>
    </w:p>
    <w:p>
      <w:r>
        <w:t>Current Offering (40% weight): Evaluates product capabilities, partnership breadth, redemption options, digital experience, and quantified member engagement metrics.</w:t>
      </w:r>
    </w:p>
    <w:p>
      <w:r>
        <w:t>Strategic Vision (35% weight): Assesses roadmap clarity, innovation trajectory, emerging technology adoption (AI, card-linking, blockchain), and future-fit positioning.</w:t>
      </w:r>
    </w:p>
    <w:p>
      <w:r>
        <w:t>Market Presence (25% weight): Measures scale (member numbers), revenue signals, ecosystem strength, brand recognition, and competitive positioning.</w:t>
      </w:r>
    </w:p>
    <w:p>
      <w:pPr>
        <w:pStyle w:val="Heading2"/>
      </w:pPr>
      <w:r>
        <w:t>Change Log</w:t>
      </w:r>
    </w:p>
    <w:p>
      <w:r>
        <w:t>This is the inaugural edition of the Incentives Market Pulse - AU/NZ report. Future editions will include month-on-month change tracking for entity scores, tier movements, and market developments.</w:t>
      </w:r>
    </w:p>
    <w:p>
      <w:r>
        <w:br w:type="page"/>
      </w:r>
    </w:p>
    <w:p>
      <w:pPr>
        <w:spacing w:before="4800"/>
      </w:pPr>
      <w:r/>
    </w:p>
    <w:p>
      <w:pPr>
        <w:spacing w:after="400"/>
        <w:jc w:val="center"/>
      </w:pPr>
      <w:r>
        <w:rPr>
          <w:b/>
          <w:color w:val="1a365d"/>
          <w:sz w:val="36"/>
        </w:rPr>
        <w:t>Market Pulse Research Pty Ltd.</w:t>
      </w:r>
    </w:p>
    <w:p>
      <w:pPr>
        <w:spacing w:after="800"/>
        <w:jc w:val="center"/>
      </w:pPr>
      <w:r>
        <w:rPr>
          <w:color w:val="4a5568"/>
          <w:sz w:val="22"/>
        </w:rPr>
        <w:t>Commercial Strategy Intelligence</w:t>
      </w:r>
    </w:p>
    <w:p>
      <w:pPr>
        <w:pBdr>
          <w:top w:val="single" w:color="e2e8f0" w:sz="6" w:space="10"/>
        </w:pBdr>
        <w:spacing w:before="400" w:after="200"/>
        <w:ind w:left="2880" w:right="2880"/>
        <w:jc w:val="center"/>
      </w:pPr>
      <w:r/>
    </w:p>
    <w:p>
      <w:pPr>
        <w:spacing w:after="100"/>
        <w:jc w:val="center"/>
      </w:pPr>
      <w:r>
        <w:rPr>
          <w:color w:val="718096"/>
          <w:sz w:val="18"/>
        </w:rPr>
        <w:t>johntilv4575@gmail.com</w:t>
      </w:r>
    </w:p>
    <w:p>
      <w:pPr>
        <w:spacing w:after="600"/>
        <w:jc w:val="center"/>
      </w:pPr>
      <w:r>
        <w:rPr>
          <w:color w:val="718096"/>
          <w:sz w:val="18"/>
        </w:rPr>
        <w:t>March 2026 Edition</w:t>
      </w:r>
    </w:p>
    <w:p>
      <w:pPr>
        <w:jc w:val="center"/>
      </w:pPr>
      <w:r>
        <w:rPr>
          <w:i/>
          <w:color w:val="718096"/>
          <w:sz w:val="16"/>
        </w:rPr>
        <w:t>Confidential - Prepared exclusively for Digital Glue Australia</w:t>
      </w:r>
    </w:p>
    <w:p>
      <w:pPr>
        <w:jc w:val="center"/>
      </w:pPr>
      <w:r>
        <w:rPr>
          <w:i/>
          <w:color w:val="718096"/>
          <w:sz w:val="16"/>
        </w:rPr>
        <w:t>Not for distribution</w:t>
      </w:r>
    </w:p>
    <w:sectPr>
      <w:headerReference w:type="default" r:id="R14c94553fa284b69"/>
      <w:footerReference w:type="default" r:id="R6719ffdd5fd941f9"/>
      <w:pgSz w:w="11906" w:h="16838"/>
      <w:pgMar w:top="1440" w:right="1440" w:bottom="1440" w:left="1440" w:header="720" w:footer="720"/>
    </w:sectPr>
  </w:body>
</w:document>
</file>

<file path=word/footer1.xml><?xml version="1.0" encoding="utf-8"?>
<w:ftr xmlns:w="http://schemas.openxmlformats.org/wordprocessingml/2006/main">
  <w:p>
    <w:pPr>
      <w:jc w:val="center"/>
    </w:pPr>
    <w:r>
      <w:rPr>
        <w:color w:val="718096"/>
        <w:sz w:val="18"/>
      </w:rPr>
      <w:fldChar w:fldCharType="begin"/>
    </w:r>
    <w:r>
      <w:instrText> PAGE </w:instrText>
    </w:r>
    <w:r>
      <w:fldChar w:fldCharType="separate"/>
    </w:r>
    <w:r>
      <w:t>1</w:t>
    </w:r>
    <w:r>
      <w:fldChar w:fldCharType="end"/>
    </w:r>
    <w:r>
      <w:rPr>
        <w:color w:val="718096"/>
        <w:sz w:val="18"/>
      </w:rPr>
      <w:t xml:space="preserve"> of </w:t>
    </w:r>
    <w:r>
      <w:fldChar w:fldCharType="begin"/>
    </w:r>
    <w:r>
      <w:instrText> NUMPAGES </w:instrText>
    </w:r>
    <w:r>
      <w:fldChar w:fldCharType="separate"/>
    </w:r>
    <w:r>
      <w:t>1</w:t>
    </w:r>
    <w:r>
      <w:fldChar w:fldCharType="end"/>
    </w:r>
  </w:p>
</w:ftr>
</file>

<file path=word/header1.xml><?xml version="1.0" encoding="utf-8"?>
<w:hdr xmlns:w="http://schemas.openxmlformats.org/wordprocessingml/2006/main">
  <w:p>
    <w:pPr>
      <w:pBdr>
        <w:bottom w:val="single" w:color="e2e8f0" w:sz="4" w:space="1"/>
      </w:pBdr>
      <w:jc w:val="right"/>
    </w:pPr>
    <w:r>
      <w:rPr>
        <w:color w:val="718096"/>
        <w:sz w:val="18"/>
      </w:rPr>
      <w:t>Incentives Market Pulse </w:t>
    </w:r>
    <w:r>
      <w:rPr>
        <w:color w:val="8b2942"/>
        <w:sz w:val="18"/>
      </w:rPr>
      <w:t>AU/NZ</w:t>
    </w:r>
    <w:r>
      <w:rPr>
        <w:color w:val="718096"/>
        <w:sz w:val="18"/>
      </w:rPr>
      <w:t> | March 2026 | Confidential</w:t>
    </w:r>
  </w:p>
</w:hdr>
</file>

<file path=word/numbering.xml><?xml version="1.0" encoding="utf-8"?>
<w:numbering xmlns:w="http://schemas.openxmlformats.org/wordprocessingml/2006/main">
  <w:abstractNum w:abstractNumId="1">
    <w:lvl w:ilvl="0">
      <w:start w:val="1"/>
      <w:numFmt w:val="decimal"/>
      <w:lvlText w:val="%1."/>
      <w:pPr>
        <w:ind w:left="720" w:hanging="360"/>
      </w:pPr>
    </w:lvl>
  </w:abstractNum>
  <w:num w:numId="1">
    <w:abstractNumId w:val="1"/>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76" w:lineRule="auto"/>
    </w:pPr>
    <w:rPr>
      <w:rFonts w:ascii="Calibri" w:hAnsi="Calibri" w:eastAsia="Microsoft YaHei"/>
      <w:color w:val="1a202c"/>
      <w:sz w:val="22"/>
    </w:rPr>
  </w:style>
  <w:style w:type="paragraph" w:styleId="Heading1">
    <w:name w:val="heading 1"/>
    <w:basedOn w:val="Normal"/>
    <w:pPr>
      <w:keepNext/>
      <w:keepLines/>
      <w:pageBreakBefore/>
      <w:spacing w:before="400" w:after="200" w:line="240" w:lineRule="auto"/>
      <w:outlineLvl w:val="0"/>
    </w:pPr>
    <w:rPr>
      <w:b/>
      <w:color w:val="1a365d"/>
      <w:sz w:val="32"/>
    </w:rPr>
  </w:style>
  <w:style w:type="paragraph" w:styleId="Heading2">
    <w:name w:val="heading 2"/>
    <w:basedOn w:val="Normal"/>
    <w:pPr>
      <w:keepNext/>
      <w:keepLines/>
      <w:spacing w:before="300" w:after="120"/>
      <w:outlineLvl w:val="1"/>
    </w:pPr>
    <w:rPr>
      <w:b/>
      <w:color w:val="1a365d"/>
      <w:sz w:val="26"/>
    </w:rPr>
  </w:style>
  <w:style w:type="paragraph" w:styleId="Heading3">
    <w:name w:val="heading 3"/>
    <w:basedOn w:val="Normal"/>
    <w:pPr>
      <w:keepNext/>
      <w:keepLines/>
      <w:spacing w:before="200" w:after="80"/>
      <w:outlineLvl w:val="2"/>
    </w:pPr>
    <w:rPr>
      <w:b/>
      <w:color w:val="2d5a6b"/>
      <w:sz w:val="24"/>
    </w:rPr>
  </w:style>
  <w:style w:type="paragraph" w:styleId="TOC1">
    <w:name w:val="toc 1"/>
    <w:basedOn w:val="Normal"/>
    <w:pPr>
      <w:tabs>
        <w:tab w:val="right" w:leader="dot" w:pos="9350"/>
      </w:tabs>
      <w:spacing w:before="120" w:after="40"/>
    </w:pPr>
    <w:rPr>
      <w:b/>
      <w:color w:val="1a202c"/>
    </w:rPr>
  </w:style>
  <w:style w:type="paragraph" w:styleId="TOC2">
    <w:name w:val="toc 2"/>
    <w:basedOn w:val="Normal"/>
    <w:pPr>
      <w:tabs>
        <w:tab w:val="right" w:leader="dot" w:pos="9350"/>
      </w:tabs>
      <w:spacing w:before="40" w:after="40"/>
      <w:ind w:left="360"/>
    </w:pPr>
    <w:rPr>
      <w:color w:val="4a5568"/>
    </w:rPr>
  </w:style>
</w:styles>
</file>

<file path=word/_rels/document.xml.rels>&#65279;<?xml version="1.0" encoding="utf-8"?><Relationships xmlns="http://schemas.openxmlformats.org/package/2006/relationships"><Relationship Type="http://schemas.openxmlformats.org/officeDocument/2006/relationships/styles" Target="/word/styles.xml" Id="R2203c58dfc0349cd" /><Relationship Type="http://schemas.openxmlformats.org/officeDocument/2006/relationships/numbering" Target="/word/numbering.xml" Id="R79db5cea89f64fdc" /><Relationship Type="http://schemas.openxmlformats.org/officeDocument/2006/relationships/header" Target="/word/header1.xml" Id="R14c94553fa284b69" /><Relationship Type="http://schemas.openxmlformats.org/officeDocument/2006/relationships/footer" Target="/word/footer1.xml" Id="R6719ffdd5fd941f9" /><Relationship Type="http://schemas.openxmlformats.org/officeDocument/2006/relationships/settings" Target="/word/settings.xml" Id="Rb5fde2d8a3474287" /></Relationships>
</file>