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e97a7c57a409a" /></Relationships>
</file>

<file path=word/document.xml><?xml version="1.0" encoding="utf-8"?>
<w:document xmlns:w="http://schemas.openxmlformats.org/wordprocessingml/2006/main">
  <w:body>
    <w:p>
      <w:r>
        <w:rPr>
          <w:b/>
        </w:rPr>
        <w:t>To: </w:t>
      </w:r>
      <w:r>
        <w:t>Katy Shaw, Digital Glue Australia</w:t>
      </w:r>
    </w:p>
    <w:p>
      <w:r>
        <w:rPr>
          <w:b/>
        </w:rPr>
        <w:t>From: </w:t>
      </w:r>
      <w:r>
        <w:t>Market Pulse Research Pty Ltd.</w:t>
      </w:r>
    </w:p>
    <w:p>
      <w:r>
        <w:rPr>
          <w:b/>
        </w:rPr>
        <w:t>Subject: </w:t>
      </w:r>
      <w:r>
        <w:t>Incentives Market Pulse - AU/NZ | March 2026</w:t>
      </w:r>
    </w:p>
    <w:p>
      <w:r>
        <w:rPr>
          <w:b/>
        </w:rPr>
        <w:t>Date: </w:t>
      </w:r>
      <w:r>
        <w:t>March 2026</w:t>
      </w:r>
    </w:p>
    <w:p/>
    <w:p>
      <w:r>
        <w:t>Dear Katy,</w:t>
      </w:r>
    </w:p>
    <w:p/>
    <w:p>
      <w:r>
        <w:t>Please find attached the inaugural Incentives Market Pulse - AU/NZ report, prepared exclusively for Digital Glue Australia.</w:t>
      </w:r>
    </w:p>
    <w:p/>
    <w:p>
      <w:r>
        <w:rPr>
          <w:b/>
          <w:color w:val="1a365d"/>
          <w:sz w:val="26"/>
        </w:rPr>
        <w:t>3 Key Themes This Month</w:t>
      </w:r>
    </w:p>
    <w:p/>
    <w:p>
      <w:r>
        <w:rPr>
          <w:b/>
        </w:rPr>
        <w:t>1. Status Credits Are Going Retail</w:t>
      </w:r>
      <w:r>
        <w:br/>
      </w:r>
      <w:r>
        <w:t>Qantas Frequent Flyer's February announcement fundamentally changes loyalty economics. Members can now earn up to 140 Status Credits annually from everyday spending - credit cards, utilities, retail partners. This creates immediate partnership opportunities for non-airline brands to attach to status-seeking behavior.</w:t>
      </w:r>
    </w:p>
    <w:p/>
    <w:p>
      <w:r>
        <w:rPr>
          <w:b/>
        </w:rPr>
        <w:t>2. Cashback Category Consolidation</w:t>
      </w:r>
      <w:r>
        <w:br/>
      </w:r>
      <w:r>
        <w:t>Cashrewards ceased operations in September 2025, leaving ShopBack as the dominant player. However, ShopBack is retrenching from in-store payments (ShopBack Pay closes March 2026). This consolidation creates white space for enterprise incentive providers to capture displaced volume.</w:t>
      </w:r>
    </w:p>
    <w:p/>
    <w:p>
      <w:r>
        <w:rPr>
          <w:b/>
        </w:rPr>
        <w:t>3. Card-Linking Technology Maturing</w:t>
      </w:r>
      <w:r>
        <w:br/>
      </w:r>
      <w:r>
        <w:t>Myer's October 2025 relaunch added card-linked earning at Dan Murphy's, DoorDash, Petbarn and others via Loyal Solutions technology. This enables coalition programs without POS integration, lowering barriers for ecosystem expansion.</w:t>
      </w:r>
    </w:p>
    <w:p/>
    <w:p>
      <w:r>
        <w:rPr>
          <w:b/>
          <w:color w:val="1a365d"/>
          <w:sz w:val="26"/>
        </w:rPr>
        <w:t>3 Priority Items to Pay Attention To</w:t>
      </w:r>
    </w:p>
    <w:p/>
    <w:p>
      <w:r>
        <w:t>1. </w:t>
      </w:r>
      <w:r>
        <w:rPr>
          <w:b/>
        </w:rPr>
        <w:t>Qantas Partner Announcements: </w:t>
      </w:r>
      <w:r>
        <w:t>Monitor which brands Qantas selects for 'on-the-ground' Status Credit earning. These partnerships will signal where status-seeking consumer attention is flowing.</w:t>
      </w:r>
    </w:p>
    <w:p>
      <w:r>
        <w:t>2. </w:t>
      </w:r>
      <w:r>
        <w:rPr>
          <w:b/>
        </w:rPr>
        <w:t>ACCC Supermarket Enforcement: </w:t>
      </w:r>
      <w:r>
        <w:t>From July 2026, the ACCC can take action on 'excessive pricing' by Woolworths and Coles. This may impact loyalty program funding if margins compress.</w:t>
      </w:r>
    </w:p>
    <w:p>
      <w:r>
        <w:t>3. </w:t>
      </w:r>
      <w:r>
        <w:rPr>
          <w:b/>
        </w:rPr>
        <w:t>PrezzeePay Consumer Launch: </w:t>
      </w:r>
      <w:r>
        <w:t>Scheduled for early 2026, this enables global gift card acceptance across 183 countries. The platform could become a significant competitor in enterprise incentives.</w:t>
      </w:r>
    </w:p>
    <w:p/>
    <w:p>
      <w:r>
        <w:rPr>
          <w:b/>
          <w:color w:val="1a365d"/>
          <w:sz w:val="26"/>
        </w:rPr>
        <w:t>Future Editions</w:t>
      </w:r>
    </w:p>
    <w:p/>
    <w:p>
      <w:r>
        <w:t>We can tighten future editions around specific areas of interest to Digital Glue:</w:t>
      </w:r>
    </w:p>
    <w:p/>
    <w:p>
      <w:pPr>
        <w:ind w:left="360"/>
      </w:pPr>
      <w:r>
        <w:t>• Partnership opportunities and competitive threats</w:t>
      </w:r>
    </w:p>
    <w:p>
      <w:pPr>
        <w:ind w:left="360"/>
      </w:pPr>
      <w:r>
        <w:t>• Competitor movement and market positioning</w:t>
      </w:r>
    </w:p>
    <w:p>
      <w:pPr>
        <w:ind w:left="360"/>
      </w:pPr>
      <w:r>
        <w:t>• Product/offer mechanics and UX innovations</w:t>
      </w:r>
    </w:p>
    <w:p>
      <w:pPr>
        <w:ind w:left="360"/>
      </w:pPr>
      <w:r>
        <w:t>• Risk/compliance developments</w:t>
      </w:r>
    </w:p>
    <w:p>
      <w:pPr>
        <w:ind w:left="360"/>
      </w:pPr>
      <w:r>
        <w:t>• Specific AU/NZ sector deep-dives</w:t>
      </w:r>
    </w:p>
    <w:p/>
    <w:p>
      <w:r>
        <w:t>Please don't hesitate to reach out if you have questions or would like to discuss any of the findings.</w:t>
      </w:r>
    </w:p>
    <w:p/>
    <w:p>
      <w:r>
        <w:t>Best regards,</w:t>
      </w:r>
    </w:p>
    <w:p/>
    <w:p>
      <w:r>
        <w:t>Market Pulse Research Pty Ltd.</w:t>
      </w:r>
    </w:p>
    <w:p>
      <w:r>
        <w:t>johntilv4575@gmail.com</w:t>
      </w:r>
    </w:p>
    <w:p/>
    <w:p>
      <w:pPr>
        <w:pBdr>
          <w:top w:val="single" w:color="718096" w:sz="4" w:space="10"/>
        </w:pBdr>
        <w:spacing w:before="400"/>
      </w:pPr>
      <w:r>
        <w:rPr>
          <w:sz w:val="18"/>
          <w:color w:val="718096"/>
          <w:i/>
        </w:rPr>
        <w:t>Confidential - Prepared exclusively for Digital Glue Australia. Not for distribution.</w:t>
      </w:r>
    </w:p>
  </w:body>
</w:document>
</file>